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1FE7" w14:textId="77DD5705" w:rsidR="00990FAF" w:rsidRPr="00A93F18" w:rsidRDefault="007D50B1" w:rsidP="00A93F18">
      <w:pPr>
        <w:jc w:val="center"/>
        <w:rPr>
          <w:b/>
          <w:bCs/>
          <w:sz w:val="36"/>
          <w:szCs w:val="40"/>
        </w:rPr>
      </w:pPr>
      <w:r w:rsidRPr="00A93F18">
        <w:rPr>
          <w:b/>
          <w:bCs/>
          <w:sz w:val="36"/>
          <w:szCs w:val="40"/>
        </w:rPr>
        <w:t>甘肃宏汇能源化工有限公司“11·12”事故调查报告</w:t>
      </w:r>
    </w:p>
    <w:p w14:paraId="5308BAF6" w14:textId="77777777" w:rsidR="00A93F18" w:rsidRPr="00A93F18" w:rsidRDefault="00A93F18">
      <w:pPr>
        <w:rPr>
          <w:b/>
          <w:bCs/>
          <w:sz w:val="24"/>
          <w:szCs w:val="28"/>
        </w:rPr>
      </w:pPr>
    </w:p>
    <w:p w14:paraId="4A7999E3" w14:textId="03554EC9" w:rsidR="00A93F18" w:rsidRPr="00A93F18" w:rsidRDefault="00A93F18" w:rsidP="00A93F18">
      <w:pPr>
        <w:jc w:val="center"/>
        <w:rPr>
          <w:rFonts w:hint="eastAsia"/>
          <w:b/>
          <w:bCs/>
          <w:sz w:val="24"/>
          <w:szCs w:val="28"/>
        </w:rPr>
      </w:pPr>
      <w:hyperlink r:id="rId6" w:history="1">
        <w:r w:rsidRPr="00A93F18">
          <w:rPr>
            <w:rStyle w:val="af2"/>
            <w:b/>
            <w:bCs/>
            <w:sz w:val="24"/>
            <w:szCs w:val="28"/>
          </w:rPr>
          <w:t>甘肃宏汇能源化工有限公司“11·12”事故调查报告</w:t>
        </w:r>
      </w:hyperlink>
    </w:p>
    <w:p w14:paraId="2A4F5FA7" w14:textId="77777777" w:rsidR="007D50B1" w:rsidRPr="00A93F18" w:rsidRDefault="007D50B1">
      <w:pPr>
        <w:rPr>
          <w:b/>
          <w:bCs/>
          <w:sz w:val="24"/>
          <w:szCs w:val="28"/>
        </w:rPr>
      </w:pPr>
    </w:p>
    <w:p w14:paraId="6D8103F1" w14:textId="77777777" w:rsidR="007D50B1" w:rsidRPr="007D50B1" w:rsidRDefault="007D50B1" w:rsidP="00A93F18">
      <w:pPr>
        <w:ind w:firstLineChars="200" w:firstLine="480"/>
        <w:rPr>
          <w:sz w:val="24"/>
          <w:szCs w:val="28"/>
        </w:rPr>
      </w:pPr>
      <w:r w:rsidRPr="007D50B1">
        <w:rPr>
          <w:sz w:val="24"/>
          <w:szCs w:val="28"/>
        </w:rPr>
        <w:t>2018年11月12日3：30许，在甘肃宏汇能源化工有限公司干馏2号线氨水池内，发生1起事故，造成1人死亡。损失工作日6000日。</w:t>
      </w:r>
    </w:p>
    <w:p w14:paraId="71082CCA" w14:textId="77777777" w:rsidR="00A93F18" w:rsidRPr="00A93F18" w:rsidRDefault="00A93F18" w:rsidP="007D50B1">
      <w:pPr>
        <w:rPr>
          <w:sz w:val="24"/>
          <w:szCs w:val="28"/>
        </w:rPr>
      </w:pPr>
    </w:p>
    <w:p w14:paraId="098123F9" w14:textId="1BBB06FF" w:rsidR="007D50B1" w:rsidRPr="007D50B1" w:rsidRDefault="007D50B1" w:rsidP="00A93F18">
      <w:pPr>
        <w:ind w:firstLineChars="200" w:firstLine="480"/>
        <w:rPr>
          <w:sz w:val="24"/>
          <w:szCs w:val="28"/>
        </w:rPr>
      </w:pPr>
      <w:r w:rsidRPr="007D50B1">
        <w:rPr>
          <w:sz w:val="24"/>
          <w:szCs w:val="28"/>
        </w:rPr>
        <w:t>根据《安全生产法》、《生产安全事故报告和调查处理条例》规定，市政府成立了由市应急管理局局长王晶为组长，市应急管理局、市纪委监委、市公安局、市总工会、市工业园区有关负责人为成员的事故调查组，按照科学严谨、依法依规、实事求是、注重实效的原则，通过现场勘查、调查取证、查阅资料、认真分析，调查组已查明了事故发生的经过、原因、人员伤亡情况，认定了事故性质和责任，对事故责任单位和相关责任人提出了处理建议及事故防范措施。现将事故调查处理情况报告如下：</w:t>
      </w:r>
    </w:p>
    <w:p w14:paraId="3A4DBED4" w14:textId="77777777" w:rsidR="007D50B1" w:rsidRPr="007D50B1" w:rsidRDefault="007D50B1" w:rsidP="007D50B1">
      <w:pPr>
        <w:rPr>
          <w:sz w:val="24"/>
          <w:szCs w:val="28"/>
        </w:rPr>
      </w:pPr>
      <w:r w:rsidRPr="007D50B1">
        <w:rPr>
          <w:sz w:val="24"/>
          <w:szCs w:val="28"/>
        </w:rPr>
        <w:t>一、事故地点</w:t>
      </w:r>
    </w:p>
    <w:p w14:paraId="539EADC5" w14:textId="77777777" w:rsidR="007D50B1" w:rsidRPr="007D50B1" w:rsidRDefault="007D50B1" w:rsidP="007D50B1">
      <w:pPr>
        <w:rPr>
          <w:sz w:val="24"/>
          <w:szCs w:val="28"/>
        </w:rPr>
      </w:pPr>
      <w:r w:rsidRPr="007D50B1">
        <w:rPr>
          <w:sz w:val="24"/>
          <w:szCs w:val="28"/>
        </w:rPr>
        <w:t>甘肃宏汇能源化工有限公司干馏2号线氨水池内</w:t>
      </w:r>
    </w:p>
    <w:p w14:paraId="097D47D8" w14:textId="77777777" w:rsidR="007D50B1" w:rsidRPr="007D50B1" w:rsidRDefault="007D50B1" w:rsidP="007D50B1">
      <w:pPr>
        <w:rPr>
          <w:sz w:val="24"/>
          <w:szCs w:val="28"/>
        </w:rPr>
      </w:pPr>
      <w:r w:rsidRPr="007D50B1">
        <w:rPr>
          <w:sz w:val="24"/>
          <w:szCs w:val="28"/>
        </w:rPr>
        <w:t>二、伤亡人员情况</w:t>
      </w:r>
    </w:p>
    <w:tbl>
      <w:tblPr>
        <w:tblW w:w="0" w:type="auto"/>
        <w:jc w:val="center"/>
        <w:tblCellMar>
          <w:left w:w="0" w:type="dxa"/>
          <w:right w:w="0" w:type="dxa"/>
        </w:tblCellMar>
        <w:tblLook w:val="04A0" w:firstRow="1" w:lastRow="0" w:firstColumn="1" w:lastColumn="0" w:noHBand="0" w:noVBand="1"/>
      </w:tblPr>
      <w:tblGrid>
        <w:gridCol w:w="885"/>
        <w:gridCol w:w="660"/>
        <w:gridCol w:w="975"/>
        <w:gridCol w:w="1035"/>
        <w:gridCol w:w="1125"/>
        <w:gridCol w:w="1005"/>
        <w:gridCol w:w="900"/>
      </w:tblGrid>
      <w:tr w:rsidR="007D50B1" w:rsidRPr="007D50B1" w14:paraId="7E9BC4C1" w14:textId="77777777" w:rsidTr="007D50B1">
        <w:trPr>
          <w:jc w:val="center"/>
        </w:trPr>
        <w:tc>
          <w:tcPr>
            <w:tcW w:w="885" w:type="dxa"/>
            <w:tcBorders>
              <w:top w:val="single" w:sz="8" w:space="0" w:color="auto"/>
              <w:left w:val="single" w:sz="8" w:space="0" w:color="auto"/>
              <w:bottom w:val="single" w:sz="8" w:space="0" w:color="auto"/>
              <w:right w:val="single" w:sz="8" w:space="0" w:color="auto"/>
            </w:tcBorders>
            <w:vAlign w:val="center"/>
            <w:hideMark/>
          </w:tcPr>
          <w:p w14:paraId="2639E4D0" w14:textId="77777777" w:rsidR="007D50B1" w:rsidRPr="007D50B1" w:rsidRDefault="007D50B1" w:rsidP="007D50B1">
            <w:pPr>
              <w:rPr>
                <w:sz w:val="24"/>
                <w:szCs w:val="28"/>
              </w:rPr>
            </w:pPr>
            <w:r w:rsidRPr="007D50B1">
              <w:rPr>
                <w:sz w:val="24"/>
                <w:szCs w:val="28"/>
              </w:rPr>
              <w:t>姓名</w:t>
            </w:r>
          </w:p>
        </w:tc>
        <w:tc>
          <w:tcPr>
            <w:tcW w:w="660" w:type="dxa"/>
            <w:tcBorders>
              <w:top w:val="single" w:sz="8" w:space="0" w:color="auto"/>
              <w:left w:val="nil"/>
              <w:bottom w:val="single" w:sz="8" w:space="0" w:color="auto"/>
              <w:right w:val="single" w:sz="8" w:space="0" w:color="auto"/>
            </w:tcBorders>
            <w:vAlign w:val="center"/>
            <w:hideMark/>
          </w:tcPr>
          <w:p w14:paraId="160BD402" w14:textId="77777777" w:rsidR="007D50B1" w:rsidRPr="007D50B1" w:rsidRDefault="007D50B1" w:rsidP="007D50B1">
            <w:pPr>
              <w:rPr>
                <w:sz w:val="24"/>
                <w:szCs w:val="28"/>
              </w:rPr>
            </w:pPr>
            <w:r w:rsidRPr="007D50B1">
              <w:rPr>
                <w:sz w:val="24"/>
                <w:szCs w:val="28"/>
              </w:rPr>
              <w:t>性别</w:t>
            </w:r>
          </w:p>
        </w:tc>
        <w:tc>
          <w:tcPr>
            <w:tcW w:w="975" w:type="dxa"/>
            <w:tcBorders>
              <w:top w:val="single" w:sz="8" w:space="0" w:color="auto"/>
              <w:left w:val="nil"/>
              <w:bottom w:val="single" w:sz="8" w:space="0" w:color="auto"/>
              <w:right w:val="single" w:sz="8" w:space="0" w:color="auto"/>
            </w:tcBorders>
            <w:vAlign w:val="center"/>
            <w:hideMark/>
          </w:tcPr>
          <w:p w14:paraId="5ED11F66" w14:textId="77777777" w:rsidR="007D50B1" w:rsidRPr="007D50B1" w:rsidRDefault="007D50B1" w:rsidP="007D50B1">
            <w:pPr>
              <w:rPr>
                <w:sz w:val="24"/>
                <w:szCs w:val="28"/>
              </w:rPr>
            </w:pPr>
            <w:r w:rsidRPr="007D50B1">
              <w:rPr>
                <w:sz w:val="24"/>
                <w:szCs w:val="28"/>
              </w:rPr>
              <w:t>年 龄</w:t>
            </w:r>
          </w:p>
        </w:tc>
        <w:tc>
          <w:tcPr>
            <w:tcW w:w="1035" w:type="dxa"/>
            <w:tcBorders>
              <w:top w:val="single" w:sz="8" w:space="0" w:color="auto"/>
              <w:left w:val="nil"/>
              <w:bottom w:val="single" w:sz="8" w:space="0" w:color="auto"/>
              <w:right w:val="single" w:sz="8" w:space="0" w:color="auto"/>
            </w:tcBorders>
            <w:vAlign w:val="center"/>
            <w:hideMark/>
          </w:tcPr>
          <w:p w14:paraId="17AE819F" w14:textId="77777777" w:rsidR="007D50B1" w:rsidRPr="007D50B1" w:rsidRDefault="007D50B1" w:rsidP="007D50B1">
            <w:pPr>
              <w:rPr>
                <w:sz w:val="24"/>
                <w:szCs w:val="28"/>
              </w:rPr>
            </w:pPr>
            <w:r w:rsidRPr="007D50B1">
              <w:rPr>
                <w:sz w:val="24"/>
                <w:szCs w:val="28"/>
              </w:rPr>
              <w:t>文化</w:t>
            </w:r>
          </w:p>
          <w:p w14:paraId="1CAF6404" w14:textId="77777777" w:rsidR="007D50B1" w:rsidRPr="007D50B1" w:rsidRDefault="007D50B1" w:rsidP="007D50B1">
            <w:pPr>
              <w:rPr>
                <w:sz w:val="24"/>
                <w:szCs w:val="28"/>
              </w:rPr>
            </w:pPr>
            <w:r w:rsidRPr="007D50B1">
              <w:rPr>
                <w:sz w:val="24"/>
                <w:szCs w:val="28"/>
              </w:rPr>
              <w:t>程度</w:t>
            </w:r>
          </w:p>
        </w:tc>
        <w:tc>
          <w:tcPr>
            <w:tcW w:w="1125" w:type="dxa"/>
            <w:tcBorders>
              <w:top w:val="single" w:sz="8" w:space="0" w:color="auto"/>
              <w:left w:val="nil"/>
              <w:bottom w:val="single" w:sz="8" w:space="0" w:color="auto"/>
              <w:right w:val="single" w:sz="8" w:space="0" w:color="auto"/>
            </w:tcBorders>
            <w:vAlign w:val="center"/>
            <w:hideMark/>
          </w:tcPr>
          <w:p w14:paraId="0F9CAA39" w14:textId="77777777" w:rsidR="007D50B1" w:rsidRPr="007D50B1" w:rsidRDefault="007D50B1" w:rsidP="007D50B1">
            <w:pPr>
              <w:rPr>
                <w:sz w:val="24"/>
                <w:szCs w:val="28"/>
              </w:rPr>
            </w:pPr>
            <w:r w:rsidRPr="007D50B1">
              <w:rPr>
                <w:sz w:val="24"/>
                <w:szCs w:val="28"/>
              </w:rPr>
              <w:t>籍 贯</w:t>
            </w:r>
          </w:p>
        </w:tc>
        <w:tc>
          <w:tcPr>
            <w:tcW w:w="1005" w:type="dxa"/>
            <w:tcBorders>
              <w:top w:val="single" w:sz="8" w:space="0" w:color="auto"/>
              <w:left w:val="nil"/>
              <w:bottom w:val="single" w:sz="8" w:space="0" w:color="auto"/>
              <w:right w:val="single" w:sz="8" w:space="0" w:color="auto"/>
            </w:tcBorders>
            <w:vAlign w:val="center"/>
            <w:hideMark/>
          </w:tcPr>
          <w:p w14:paraId="083B0C1A" w14:textId="77777777" w:rsidR="007D50B1" w:rsidRPr="007D50B1" w:rsidRDefault="007D50B1" w:rsidP="007D50B1">
            <w:pPr>
              <w:rPr>
                <w:sz w:val="24"/>
                <w:szCs w:val="28"/>
              </w:rPr>
            </w:pPr>
            <w:r w:rsidRPr="007D50B1">
              <w:rPr>
                <w:sz w:val="24"/>
                <w:szCs w:val="28"/>
              </w:rPr>
              <w:t>安全教育情况</w:t>
            </w:r>
          </w:p>
        </w:tc>
        <w:tc>
          <w:tcPr>
            <w:tcW w:w="900" w:type="dxa"/>
            <w:tcBorders>
              <w:top w:val="single" w:sz="8" w:space="0" w:color="auto"/>
              <w:left w:val="nil"/>
              <w:bottom w:val="single" w:sz="8" w:space="0" w:color="auto"/>
              <w:right w:val="single" w:sz="8" w:space="0" w:color="auto"/>
            </w:tcBorders>
            <w:vAlign w:val="center"/>
            <w:hideMark/>
          </w:tcPr>
          <w:p w14:paraId="5C4BE82F" w14:textId="77777777" w:rsidR="007D50B1" w:rsidRPr="007D50B1" w:rsidRDefault="007D50B1" w:rsidP="007D50B1">
            <w:pPr>
              <w:rPr>
                <w:sz w:val="24"/>
                <w:szCs w:val="28"/>
              </w:rPr>
            </w:pPr>
            <w:r w:rsidRPr="007D50B1">
              <w:rPr>
                <w:sz w:val="24"/>
                <w:szCs w:val="28"/>
              </w:rPr>
              <w:t>伤害</w:t>
            </w:r>
          </w:p>
          <w:p w14:paraId="67172964" w14:textId="77777777" w:rsidR="007D50B1" w:rsidRPr="007D50B1" w:rsidRDefault="007D50B1" w:rsidP="007D50B1">
            <w:pPr>
              <w:rPr>
                <w:sz w:val="24"/>
                <w:szCs w:val="28"/>
              </w:rPr>
            </w:pPr>
            <w:r w:rsidRPr="007D50B1">
              <w:rPr>
                <w:sz w:val="24"/>
                <w:szCs w:val="28"/>
              </w:rPr>
              <w:t>程度</w:t>
            </w:r>
          </w:p>
        </w:tc>
      </w:tr>
      <w:tr w:rsidR="007D50B1" w:rsidRPr="007D50B1" w14:paraId="5F7728E6" w14:textId="77777777" w:rsidTr="007D50B1">
        <w:trPr>
          <w:jc w:val="center"/>
        </w:trPr>
        <w:tc>
          <w:tcPr>
            <w:tcW w:w="885" w:type="dxa"/>
            <w:tcBorders>
              <w:top w:val="nil"/>
              <w:left w:val="single" w:sz="8" w:space="0" w:color="auto"/>
              <w:bottom w:val="single" w:sz="8" w:space="0" w:color="auto"/>
              <w:right w:val="single" w:sz="8" w:space="0" w:color="auto"/>
            </w:tcBorders>
            <w:vAlign w:val="center"/>
            <w:hideMark/>
          </w:tcPr>
          <w:p w14:paraId="38D821BD" w14:textId="77777777" w:rsidR="007D50B1" w:rsidRPr="007D50B1" w:rsidRDefault="007D50B1" w:rsidP="007D50B1">
            <w:pPr>
              <w:rPr>
                <w:sz w:val="24"/>
                <w:szCs w:val="28"/>
              </w:rPr>
            </w:pPr>
            <w:r w:rsidRPr="007D50B1">
              <w:rPr>
                <w:sz w:val="24"/>
                <w:szCs w:val="28"/>
              </w:rPr>
              <w:t>贾**</w:t>
            </w:r>
          </w:p>
        </w:tc>
        <w:tc>
          <w:tcPr>
            <w:tcW w:w="660" w:type="dxa"/>
            <w:tcBorders>
              <w:top w:val="nil"/>
              <w:left w:val="nil"/>
              <w:bottom w:val="single" w:sz="8" w:space="0" w:color="auto"/>
              <w:right w:val="single" w:sz="8" w:space="0" w:color="auto"/>
            </w:tcBorders>
            <w:vAlign w:val="center"/>
            <w:hideMark/>
          </w:tcPr>
          <w:p w14:paraId="569332CA" w14:textId="77777777" w:rsidR="007D50B1" w:rsidRPr="007D50B1" w:rsidRDefault="007D50B1" w:rsidP="007D50B1">
            <w:pPr>
              <w:rPr>
                <w:sz w:val="24"/>
                <w:szCs w:val="28"/>
              </w:rPr>
            </w:pPr>
            <w:r w:rsidRPr="007D50B1">
              <w:rPr>
                <w:sz w:val="24"/>
                <w:szCs w:val="28"/>
              </w:rPr>
              <w:t>男</w:t>
            </w:r>
          </w:p>
        </w:tc>
        <w:tc>
          <w:tcPr>
            <w:tcW w:w="975" w:type="dxa"/>
            <w:tcBorders>
              <w:top w:val="nil"/>
              <w:left w:val="nil"/>
              <w:bottom w:val="single" w:sz="8" w:space="0" w:color="auto"/>
              <w:right w:val="single" w:sz="8" w:space="0" w:color="auto"/>
            </w:tcBorders>
            <w:vAlign w:val="center"/>
            <w:hideMark/>
          </w:tcPr>
          <w:p w14:paraId="68105522" w14:textId="77777777" w:rsidR="007D50B1" w:rsidRPr="007D50B1" w:rsidRDefault="007D50B1" w:rsidP="007D50B1">
            <w:pPr>
              <w:rPr>
                <w:sz w:val="24"/>
                <w:szCs w:val="28"/>
              </w:rPr>
            </w:pPr>
            <w:r w:rsidRPr="007D50B1">
              <w:rPr>
                <w:sz w:val="24"/>
                <w:szCs w:val="28"/>
              </w:rPr>
              <w:t>24</w:t>
            </w:r>
          </w:p>
        </w:tc>
        <w:tc>
          <w:tcPr>
            <w:tcW w:w="1035" w:type="dxa"/>
            <w:tcBorders>
              <w:top w:val="nil"/>
              <w:left w:val="nil"/>
              <w:bottom w:val="single" w:sz="8" w:space="0" w:color="auto"/>
              <w:right w:val="single" w:sz="8" w:space="0" w:color="auto"/>
            </w:tcBorders>
            <w:vAlign w:val="center"/>
            <w:hideMark/>
          </w:tcPr>
          <w:p w14:paraId="559EECD1" w14:textId="77777777" w:rsidR="007D50B1" w:rsidRPr="007D50B1" w:rsidRDefault="007D50B1" w:rsidP="007D50B1">
            <w:pPr>
              <w:rPr>
                <w:sz w:val="24"/>
                <w:szCs w:val="28"/>
              </w:rPr>
            </w:pPr>
            <w:r w:rsidRPr="007D50B1">
              <w:rPr>
                <w:sz w:val="24"/>
                <w:szCs w:val="28"/>
              </w:rPr>
              <w:t>不详</w:t>
            </w:r>
          </w:p>
        </w:tc>
        <w:tc>
          <w:tcPr>
            <w:tcW w:w="1125" w:type="dxa"/>
            <w:tcBorders>
              <w:top w:val="nil"/>
              <w:left w:val="nil"/>
              <w:bottom w:val="single" w:sz="8" w:space="0" w:color="auto"/>
              <w:right w:val="single" w:sz="8" w:space="0" w:color="auto"/>
            </w:tcBorders>
            <w:vAlign w:val="center"/>
            <w:hideMark/>
          </w:tcPr>
          <w:p w14:paraId="4CEFE43E" w14:textId="77777777" w:rsidR="007D50B1" w:rsidRPr="007D50B1" w:rsidRDefault="007D50B1" w:rsidP="007D50B1">
            <w:pPr>
              <w:rPr>
                <w:sz w:val="24"/>
                <w:szCs w:val="28"/>
              </w:rPr>
            </w:pPr>
            <w:r w:rsidRPr="007D50B1">
              <w:rPr>
                <w:sz w:val="24"/>
                <w:szCs w:val="28"/>
              </w:rPr>
              <w:t>甘肃武威</w:t>
            </w:r>
          </w:p>
        </w:tc>
        <w:tc>
          <w:tcPr>
            <w:tcW w:w="1005" w:type="dxa"/>
            <w:tcBorders>
              <w:top w:val="nil"/>
              <w:left w:val="nil"/>
              <w:bottom w:val="single" w:sz="8" w:space="0" w:color="auto"/>
              <w:right w:val="single" w:sz="8" w:space="0" w:color="auto"/>
            </w:tcBorders>
            <w:vAlign w:val="center"/>
            <w:hideMark/>
          </w:tcPr>
          <w:p w14:paraId="2A1401F4" w14:textId="77777777" w:rsidR="007D50B1" w:rsidRPr="007D50B1" w:rsidRDefault="007D50B1" w:rsidP="007D50B1">
            <w:pPr>
              <w:rPr>
                <w:sz w:val="24"/>
                <w:szCs w:val="28"/>
              </w:rPr>
            </w:pPr>
            <w:r w:rsidRPr="007D50B1">
              <w:rPr>
                <w:sz w:val="24"/>
                <w:szCs w:val="28"/>
              </w:rPr>
              <w:t>三级安全教育</w:t>
            </w:r>
          </w:p>
        </w:tc>
        <w:tc>
          <w:tcPr>
            <w:tcW w:w="900" w:type="dxa"/>
            <w:tcBorders>
              <w:top w:val="nil"/>
              <w:left w:val="nil"/>
              <w:bottom w:val="single" w:sz="8" w:space="0" w:color="auto"/>
              <w:right w:val="single" w:sz="8" w:space="0" w:color="auto"/>
            </w:tcBorders>
            <w:vAlign w:val="center"/>
            <w:hideMark/>
          </w:tcPr>
          <w:p w14:paraId="5C9BC8E7" w14:textId="77777777" w:rsidR="007D50B1" w:rsidRPr="007D50B1" w:rsidRDefault="007D50B1" w:rsidP="007D50B1">
            <w:pPr>
              <w:rPr>
                <w:sz w:val="24"/>
                <w:szCs w:val="28"/>
              </w:rPr>
            </w:pPr>
            <w:r w:rsidRPr="007D50B1">
              <w:rPr>
                <w:sz w:val="24"/>
                <w:szCs w:val="28"/>
              </w:rPr>
              <w:t>死亡</w:t>
            </w:r>
          </w:p>
        </w:tc>
      </w:tr>
    </w:tbl>
    <w:p w14:paraId="7968D75E" w14:textId="77777777" w:rsidR="007D50B1" w:rsidRPr="007D50B1" w:rsidRDefault="007D50B1" w:rsidP="007D50B1">
      <w:pPr>
        <w:rPr>
          <w:sz w:val="24"/>
          <w:szCs w:val="28"/>
        </w:rPr>
      </w:pPr>
      <w:r w:rsidRPr="007D50B1">
        <w:rPr>
          <w:sz w:val="24"/>
          <w:szCs w:val="28"/>
        </w:rPr>
        <w:t>三、直接经济损失：约121万元。</w:t>
      </w:r>
    </w:p>
    <w:p w14:paraId="461B2CDB" w14:textId="77777777" w:rsidR="007D50B1" w:rsidRPr="007D50B1" w:rsidRDefault="007D50B1" w:rsidP="007D50B1">
      <w:pPr>
        <w:rPr>
          <w:sz w:val="24"/>
          <w:szCs w:val="28"/>
        </w:rPr>
      </w:pPr>
      <w:r w:rsidRPr="007D50B1">
        <w:rPr>
          <w:sz w:val="24"/>
          <w:szCs w:val="28"/>
        </w:rPr>
        <w:lastRenderedPageBreak/>
        <w:t>四、事故单位概况</w:t>
      </w:r>
    </w:p>
    <w:p w14:paraId="1B94A334" w14:textId="77777777" w:rsidR="007D50B1" w:rsidRPr="007D50B1" w:rsidRDefault="007D50B1" w:rsidP="007D50B1">
      <w:pPr>
        <w:rPr>
          <w:sz w:val="24"/>
          <w:szCs w:val="28"/>
        </w:rPr>
      </w:pPr>
      <w:r w:rsidRPr="007D50B1">
        <w:rPr>
          <w:sz w:val="24"/>
          <w:szCs w:val="28"/>
        </w:rPr>
        <w:t>甘肃宏汇能源化工有限公司（以下简称宏汇公司），类型：有限责任公司；住所：甘肃省嘉峪关市******；法定代表人：蒋**；成立日期：2014年07月30日；营业期限：2014年07月30日至2034年07月29日；经营范围：化工产品综合利用及技术开发，煤制品技术咨询。（不含国家限制经营项目）。</w:t>
      </w:r>
    </w:p>
    <w:p w14:paraId="3045CCF8" w14:textId="77777777" w:rsidR="007D50B1" w:rsidRPr="007D50B1" w:rsidRDefault="007D50B1" w:rsidP="007D50B1">
      <w:pPr>
        <w:rPr>
          <w:sz w:val="24"/>
          <w:szCs w:val="28"/>
        </w:rPr>
      </w:pPr>
      <w:r w:rsidRPr="007D50B1">
        <w:rPr>
          <w:sz w:val="24"/>
          <w:szCs w:val="28"/>
        </w:rPr>
        <w:t>宏汇公司是由酒泉钢铁（集团）有限责任公司与广汇能源股份有限公司共同出资,于2014年7月注册成立的混合所有制经济企业，双方各出资50%，注册资本金30亿元人民币。宏汇公司为新型能源化工型企业，1000万吨煤炭分质利用项目是甘肃省2015年重点建设项目, 项目自2015年5月开工建设至今，各生产装置及配套的辅助设施已全部建设完成，各生产装置及辅助设施全部完成单体、联动调试工作，于2018年6月1日起正式开始进行试生产工作（试生产前已向原省安监局办理了报备手续），截止事故发生时，公司仍处于试运行阶段。</w:t>
      </w:r>
    </w:p>
    <w:p w14:paraId="00D52016" w14:textId="77777777" w:rsidR="007D50B1" w:rsidRPr="007D50B1" w:rsidRDefault="007D50B1" w:rsidP="007D50B1">
      <w:pPr>
        <w:rPr>
          <w:sz w:val="24"/>
          <w:szCs w:val="28"/>
        </w:rPr>
      </w:pPr>
      <w:r w:rsidRPr="007D50B1">
        <w:rPr>
          <w:sz w:val="24"/>
          <w:szCs w:val="28"/>
        </w:rPr>
        <w:t>五、事故经过及救援情况</w:t>
      </w:r>
    </w:p>
    <w:p w14:paraId="0B3CA53E" w14:textId="77777777" w:rsidR="007D50B1" w:rsidRPr="007D50B1" w:rsidRDefault="007D50B1" w:rsidP="007D50B1">
      <w:pPr>
        <w:rPr>
          <w:sz w:val="24"/>
          <w:szCs w:val="28"/>
        </w:rPr>
      </w:pPr>
      <w:r w:rsidRPr="007D50B1">
        <w:rPr>
          <w:sz w:val="24"/>
          <w:szCs w:val="28"/>
        </w:rPr>
        <w:t>2018年11月9日，甘肃宏汇能源化工有限公司干馏2号线氨水池两台氨水泵均发生故障，需要停炉检修，排查故障问题。甘肃宏汇能源化工有限公司干馏作业区通过两天的检修工作，于2018年11月11日8:00许，发现干馏2号线氨水池内保温加热管泄漏，需要进行补焊处理。经当岗位工作人员对作业环境进行检测发现池内氨气0ppm、硫化氢0ppm、氧气含量最高为13%，氧气含量不达标，不具备作业条件，需要通过采取卡盲板、继续通入空气置换等措施待检测合格后方可进行作业。 20:00许，干馏作业区夜班班长李**组织召开班前例会，就氨水池检修作业存在的问题及需要采取的措施向当班岗位工人进行了安全告知，同时安排岗位工作员贾**和马**使用压缩空气对干馏作业区2#氨水池进行置换，并对</w:t>
      </w:r>
      <w:r w:rsidRPr="007D50B1">
        <w:rPr>
          <w:sz w:val="24"/>
          <w:szCs w:val="28"/>
        </w:rPr>
        <w:lastRenderedPageBreak/>
        <w:t>氨水池内气体成分进行检测，安排岗位工作人员黎**、靳*将干馏炉头、炉尾氮气管道盲板卡上， 11月12日2:20许，检修人员孟**使用空气呼吸器下至氨水池内进行检修作业，贾**、马**在地面进行监护，2:35许检修作业完成并由班长李**验收合格。李**随即安排贾**、马**恢复2#氨水池顶部人孔盖，同时安排黎**、靳*抽掉氮气管道盲板， 2:50许，贾**、马**在封闭人孔盖过程中不慎将密封胶条掉入池内，贾**在未佩戴空气呼吸器的情况下沿爬梯进入氨水池内寻找密封胶条，贾**拾起密封胶条准备向上爬梯时，突然晕倒在氨水池内，马**见状立即电话通知岗位工作人员黎**，岗位工作人员黎**、靳*立即赶到2#氨水池，马**佩戴空气呼吸器进入氨水池，三人使用安全绳将贾**救出，救出后三人立即对贾**进行人工呼吸和心肺复苏，并拨打了急救电话，由于公司距离医院路途远，为争取抢救时间，班长李**驾车将贾鑫山送至酒钢医院抢救，5:50许贾**经抢救无效死亡。</w:t>
      </w:r>
    </w:p>
    <w:p w14:paraId="309BE64F" w14:textId="77777777" w:rsidR="007D50B1" w:rsidRPr="007D50B1" w:rsidRDefault="007D50B1" w:rsidP="007D50B1">
      <w:pPr>
        <w:rPr>
          <w:sz w:val="24"/>
          <w:szCs w:val="28"/>
        </w:rPr>
      </w:pPr>
      <w:r w:rsidRPr="007D50B1">
        <w:rPr>
          <w:sz w:val="24"/>
          <w:szCs w:val="28"/>
        </w:rPr>
        <w:t>六、事故原因分析</w:t>
      </w:r>
    </w:p>
    <w:p w14:paraId="67DF3F2C" w14:textId="77777777" w:rsidR="007D50B1" w:rsidRPr="007D50B1" w:rsidRDefault="007D50B1" w:rsidP="007D50B1">
      <w:pPr>
        <w:rPr>
          <w:sz w:val="24"/>
          <w:szCs w:val="28"/>
        </w:rPr>
      </w:pPr>
      <w:r w:rsidRPr="007D50B1">
        <w:rPr>
          <w:sz w:val="24"/>
          <w:szCs w:val="28"/>
        </w:rPr>
        <w:t>（一）直接原因</w:t>
      </w:r>
    </w:p>
    <w:p w14:paraId="7A8774B4" w14:textId="77777777" w:rsidR="007D50B1" w:rsidRPr="007D50B1" w:rsidRDefault="007D50B1" w:rsidP="007D50B1">
      <w:pPr>
        <w:rPr>
          <w:sz w:val="24"/>
          <w:szCs w:val="28"/>
        </w:rPr>
      </w:pPr>
      <w:r w:rsidRPr="007D50B1">
        <w:rPr>
          <w:b/>
          <w:bCs/>
          <w:sz w:val="24"/>
          <w:szCs w:val="28"/>
        </w:rPr>
        <w:t>作业人员违章冒险作业</w:t>
      </w:r>
      <w:r w:rsidRPr="007D50B1">
        <w:rPr>
          <w:sz w:val="24"/>
          <w:szCs w:val="28"/>
        </w:rPr>
        <w:t>，贾鑫山违反《甘肃宏汇能源化工有限公司危险作业管理办法》的相关要求， 在未佩戴任何防护用品情况下进入受限空间，导致其死亡。</w:t>
      </w:r>
    </w:p>
    <w:p w14:paraId="39950D56" w14:textId="77777777" w:rsidR="007D50B1" w:rsidRPr="007D50B1" w:rsidRDefault="007D50B1" w:rsidP="007D50B1">
      <w:pPr>
        <w:rPr>
          <w:sz w:val="24"/>
          <w:szCs w:val="28"/>
        </w:rPr>
      </w:pPr>
      <w:r w:rsidRPr="007D50B1">
        <w:rPr>
          <w:sz w:val="24"/>
          <w:szCs w:val="28"/>
        </w:rPr>
        <w:t>（二）间接原因</w:t>
      </w:r>
    </w:p>
    <w:p w14:paraId="262D5E1B" w14:textId="77777777" w:rsidR="007D50B1" w:rsidRPr="007D50B1" w:rsidRDefault="007D50B1" w:rsidP="007D50B1">
      <w:pPr>
        <w:rPr>
          <w:sz w:val="24"/>
          <w:szCs w:val="28"/>
        </w:rPr>
      </w:pPr>
      <w:r w:rsidRPr="007D50B1">
        <w:rPr>
          <w:sz w:val="24"/>
          <w:szCs w:val="28"/>
        </w:rPr>
        <w:t>1、</w:t>
      </w:r>
      <w:r w:rsidRPr="007D50B1">
        <w:rPr>
          <w:b/>
          <w:bCs/>
          <w:sz w:val="24"/>
          <w:szCs w:val="28"/>
        </w:rPr>
        <w:t>安全教育不到位</w:t>
      </w:r>
      <w:r w:rsidRPr="007D50B1">
        <w:rPr>
          <w:sz w:val="24"/>
          <w:szCs w:val="28"/>
        </w:rPr>
        <w:t>，甘肃宏汇能源化工有限公司日常安全教育不到位，岗位工作人员贾鑫山未佩戴劳动防护用品冒险进入受限空间作业，体现出贾鑫山安全意识淡薄，缺乏本岗位安全操作技能知识，不具备必要的安全生产知识。</w:t>
      </w:r>
    </w:p>
    <w:p w14:paraId="357FFEB0" w14:textId="77777777" w:rsidR="007D50B1" w:rsidRPr="007D50B1" w:rsidRDefault="007D50B1" w:rsidP="007D50B1">
      <w:pPr>
        <w:rPr>
          <w:sz w:val="24"/>
          <w:szCs w:val="28"/>
        </w:rPr>
      </w:pPr>
      <w:r w:rsidRPr="007D50B1">
        <w:rPr>
          <w:sz w:val="24"/>
          <w:szCs w:val="28"/>
        </w:rPr>
        <w:t>2、</w:t>
      </w:r>
      <w:r w:rsidRPr="007D50B1">
        <w:rPr>
          <w:b/>
          <w:bCs/>
          <w:sz w:val="24"/>
          <w:szCs w:val="28"/>
        </w:rPr>
        <w:t>落实规章制度不到位，</w:t>
      </w:r>
      <w:r w:rsidRPr="007D50B1">
        <w:rPr>
          <w:sz w:val="24"/>
          <w:szCs w:val="28"/>
        </w:rPr>
        <w:t>岗位工作人员马玉成落实危险作业管理办法不到位，作为贾鑫山互保人员未及时制止并汇报其违章冒险作业行为。</w:t>
      </w:r>
    </w:p>
    <w:p w14:paraId="0A5A675A" w14:textId="77777777" w:rsidR="007D50B1" w:rsidRPr="007D50B1" w:rsidRDefault="007D50B1" w:rsidP="007D50B1">
      <w:pPr>
        <w:rPr>
          <w:sz w:val="24"/>
          <w:szCs w:val="28"/>
        </w:rPr>
      </w:pPr>
      <w:r w:rsidRPr="007D50B1">
        <w:rPr>
          <w:b/>
          <w:bCs/>
          <w:sz w:val="24"/>
          <w:szCs w:val="28"/>
        </w:rPr>
        <w:lastRenderedPageBreak/>
        <w:t>3、日常安全管理工作不到位，</w:t>
      </w:r>
      <w:r w:rsidRPr="007D50B1">
        <w:rPr>
          <w:sz w:val="24"/>
          <w:szCs w:val="28"/>
        </w:rPr>
        <w:t>甘肃宏汇能源化工有限公司对作业区、班组存在的安全教育培训不到位，安全规章制度不落实，岗位操作规程不执行等问题失察。</w:t>
      </w:r>
    </w:p>
    <w:p w14:paraId="493BB120" w14:textId="77777777" w:rsidR="007D50B1" w:rsidRPr="007D50B1" w:rsidRDefault="007D50B1" w:rsidP="007D50B1">
      <w:pPr>
        <w:rPr>
          <w:sz w:val="24"/>
          <w:szCs w:val="28"/>
        </w:rPr>
      </w:pPr>
      <w:r w:rsidRPr="007D50B1">
        <w:rPr>
          <w:sz w:val="24"/>
          <w:szCs w:val="28"/>
        </w:rPr>
        <w:t>七、事故性质：生产安全责任事故。</w:t>
      </w:r>
    </w:p>
    <w:p w14:paraId="1206F2C4" w14:textId="77777777" w:rsidR="007D50B1" w:rsidRPr="007D50B1" w:rsidRDefault="007D50B1" w:rsidP="007D50B1">
      <w:pPr>
        <w:rPr>
          <w:sz w:val="24"/>
          <w:szCs w:val="28"/>
        </w:rPr>
      </w:pPr>
      <w:r w:rsidRPr="007D50B1">
        <w:rPr>
          <w:sz w:val="24"/>
          <w:szCs w:val="28"/>
        </w:rPr>
        <w:t>八、责任认定及处理建议</w:t>
      </w:r>
    </w:p>
    <w:p w14:paraId="2F9C1063" w14:textId="77777777" w:rsidR="007D50B1" w:rsidRPr="007D50B1" w:rsidRDefault="007D50B1" w:rsidP="007D50B1">
      <w:pPr>
        <w:rPr>
          <w:sz w:val="24"/>
          <w:szCs w:val="28"/>
        </w:rPr>
      </w:pPr>
      <w:r w:rsidRPr="007D50B1">
        <w:rPr>
          <w:sz w:val="24"/>
          <w:szCs w:val="28"/>
        </w:rPr>
        <w:t>（一）因在事故中死亡，免予追究责任人员</w:t>
      </w:r>
    </w:p>
    <w:p w14:paraId="112D6EE0" w14:textId="77777777" w:rsidR="007D50B1" w:rsidRPr="007D50B1" w:rsidRDefault="007D50B1" w:rsidP="007D50B1">
      <w:pPr>
        <w:rPr>
          <w:sz w:val="24"/>
          <w:szCs w:val="28"/>
        </w:rPr>
      </w:pPr>
      <w:r w:rsidRPr="007D50B1">
        <w:rPr>
          <w:b/>
          <w:bCs/>
          <w:sz w:val="24"/>
          <w:szCs w:val="28"/>
        </w:rPr>
        <w:t>贾**，甘肃宏汇能源化工有限公司职工，</w:t>
      </w:r>
      <w:r w:rsidRPr="007D50B1">
        <w:rPr>
          <w:sz w:val="24"/>
          <w:szCs w:val="28"/>
        </w:rPr>
        <w:t>安全意识淡薄，违章冒险作业。违反《安全生产法》第五十四条第一款之规定，对本起事故发生负有直接责任，鉴于其在事故中死亡，故不追究其相关责任。</w:t>
      </w:r>
    </w:p>
    <w:p w14:paraId="170330BD" w14:textId="77777777" w:rsidR="007D50B1" w:rsidRPr="007D50B1" w:rsidRDefault="007D50B1" w:rsidP="007D50B1">
      <w:pPr>
        <w:rPr>
          <w:sz w:val="24"/>
          <w:szCs w:val="28"/>
        </w:rPr>
      </w:pPr>
      <w:r w:rsidRPr="007D50B1">
        <w:rPr>
          <w:sz w:val="24"/>
          <w:szCs w:val="28"/>
        </w:rPr>
        <w:t>（二）建议给予行政处罚的单位和人员</w:t>
      </w:r>
    </w:p>
    <w:p w14:paraId="70718053" w14:textId="77777777" w:rsidR="007D50B1" w:rsidRPr="007D50B1" w:rsidRDefault="007D50B1" w:rsidP="007D50B1">
      <w:pPr>
        <w:rPr>
          <w:sz w:val="24"/>
          <w:szCs w:val="28"/>
        </w:rPr>
      </w:pPr>
      <w:r w:rsidRPr="007D50B1">
        <w:rPr>
          <w:b/>
          <w:bCs/>
          <w:sz w:val="24"/>
          <w:szCs w:val="28"/>
        </w:rPr>
        <w:t>1、甘肃宏汇能源化工有限公司，</w:t>
      </w:r>
      <w:r w:rsidRPr="007D50B1">
        <w:rPr>
          <w:sz w:val="24"/>
          <w:szCs w:val="28"/>
        </w:rPr>
        <w:t>对从业人员安全教育培训不到位，未及时发现并制止违章作业。违反《安全生产法》第二十五条之规定，对本起事故发生负有管理责任，建议市应急局依据《安全生产法》第一百零九条之规定，给予行政处罚。</w:t>
      </w:r>
    </w:p>
    <w:p w14:paraId="4D54DCCC" w14:textId="77777777" w:rsidR="007D50B1" w:rsidRPr="007D50B1" w:rsidRDefault="007D50B1" w:rsidP="007D50B1">
      <w:pPr>
        <w:rPr>
          <w:sz w:val="24"/>
          <w:szCs w:val="28"/>
        </w:rPr>
      </w:pPr>
      <w:r w:rsidRPr="007D50B1">
        <w:rPr>
          <w:b/>
          <w:bCs/>
          <w:sz w:val="24"/>
          <w:szCs w:val="28"/>
        </w:rPr>
        <w:t>2、李**，甘肃宏汇能源化工有限公司总经理，</w:t>
      </w:r>
      <w:r w:rsidRPr="007D50B1">
        <w:rPr>
          <w:sz w:val="24"/>
          <w:szCs w:val="28"/>
        </w:rPr>
        <w:t>公司安全生产主要负责人，对公司安全教育培训不到位，安全规章制度不落实，岗位操作规程不执行等问题失察。监督检查本单位安全生产工作不到位，未能及时消除安全生产事故隐患。违反《安全生产法》第十八条之规定，对本起事故发生负有领导责任，建议市应急局依据《安全生产法》第九十二条之规定，对其给予上一年年收入百分之三十的行政处罚。</w:t>
      </w:r>
    </w:p>
    <w:p w14:paraId="4BA766A2" w14:textId="77777777" w:rsidR="007D50B1" w:rsidRPr="007D50B1" w:rsidRDefault="007D50B1" w:rsidP="007D50B1">
      <w:pPr>
        <w:rPr>
          <w:sz w:val="24"/>
          <w:szCs w:val="28"/>
        </w:rPr>
      </w:pPr>
      <w:r w:rsidRPr="007D50B1">
        <w:rPr>
          <w:sz w:val="24"/>
          <w:szCs w:val="28"/>
        </w:rPr>
        <w:t>3、</w:t>
      </w:r>
      <w:r w:rsidRPr="007D50B1">
        <w:rPr>
          <w:b/>
          <w:bCs/>
          <w:sz w:val="24"/>
          <w:szCs w:val="28"/>
        </w:rPr>
        <w:t>王*，甘肃宏汇能源化工有限公司安全环保部副部长，</w:t>
      </w:r>
      <w:r w:rsidRPr="007D50B1">
        <w:rPr>
          <w:sz w:val="24"/>
          <w:szCs w:val="28"/>
        </w:rPr>
        <w:t>公司安全管理人员，未及时发现并消除安全教育培训不到位，安全规章制度不落实，岗位操作规程不执行等问题，违反《安全生产法》第二十二条之规定，对本起事故发生负有管理责</w:t>
      </w:r>
      <w:r w:rsidRPr="007D50B1">
        <w:rPr>
          <w:sz w:val="24"/>
          <w:szCs w:val="28"/>
        </w:rPr>
        <w:lastRenderedPageBreak/>
        <w:t>任，建议市应急局依据《安全生产法》第九十三条之规定，暂停其与安全生产有关的资格。</w:t>
      </w:r>
    </w:p>
    <w:p w14:paraId="70193D99" w14:textId="77777777" w:rsidR="007D50B1" w:rsidRPr="007D50B1" w:rsidRDefault="007D50B1" w:rsidP="007D50B1">
      <w:pPr>
        <w:rPr>
          <w:sz w:val="24"/>
          <w:szCs w:val="28"/>
        </w:rPr>
      </w:pPr>
      <w:r w:rsidRPr="007D50B1">
        <w:rPr>
          <w:sz w:val="24"/>
          <w:szCs w:val="28"/>
        </w:rPr>
        <w:t>九、防范和整改措施</w:t>
      </w:r>
    </w:p>
    <w:p w14:paraId="135D143D" w14:textId="77777777" w:rsidR="007D50B1" w:rsidRPr="007D50B1" w:rsidRDefault="007D50B1" w:rsidP="007D50B1">
      <w:pPr>
        <w:rPr>
          <w:sz w:val="24"/>
          <w:szCs w:val="28"/>
        </w:rPr>
      </w:pPr>
      <w:r w:rsidRPr="007D50B1">
        <w:rPr>
          <w:sz w:val="24"/>
          <w:szCs w:val="28"/>
        </w:rPr>
        <w:t>（一）</w:t>
      </w:r>
      <w:r w:rsidRPr="007D50B1">
        <w:rPr>
          <w:b/>
          <w:bCs/>
          <w:sz w:val="24"/>
          <w:szCs w:val="28"/>
        </w:rPr>
        <w:t>牢固树立“红线意识”，深刻汲取事故教训。</w:t>
      </w:r>
      <w:r w:rsidRPr="007D50B1">
        <w:rPr>
          <w:sz w:val="24"/>
          <w:szCs w:val="28"/>
        </w:rPr>
        <w:t>甘肃宏汇能源化工有限公司要充分认识安全生产工作的极端重要性，牢固树立“红线意识”。认真贯彻“安全第一，预防为主，综合治理”的安全生产方针，全面落实安全生产责任制。要举一反三，大力提升安全意识，切实采取有效措施，加大安全生产管理力度，督促单位加强对现场安全管理，严禁违章指挥、违章作业、违反劳动纪律的“三违”现象出现，切实把安全生产工作抓紧抓实。</w:t>
      </w:r>
    </w:p>
    <w:p w14:paraId="74DE3329" w14:textId="77777777" w:rsidR="007D50B1" w:rsidRPr="007D50B1" w:rsidRDefault="007D50B1" w:rsidP="007D50B1">
      <w:pPr>
        <w:rPr>
          <w:sz w:val="24"/>
          <w:szCs w:val="28"/>
        </w:rPr>
      </w:pPr>
      <w:r w:rsidRPr="007D50B1">
        <w:rPr>
          <w:sz w:val="24"/>
          <w:szCs w:val="28"/>
        </w:rPr>
        <w:t>（二）</w:t>
      </w:r>
      <w:r w:rsidRPr="007D50B1">
        <w:rPr>
          <w:b/>
          <w:bCs/>
          <w:sz w:val="24"/>
          <w:szCs w:val="28"/>
        </w:rPr>
        <w:t>建立健全企业规章制度，强化企业安全教育。</w:t>
      </w:r>
      <w:r w:rsidRPr="007D50B1">
        <w:rPr>
          <w:sz w:val="24"/>
          <w:szCs w:val="28"/>
        </w:rPr>
        <w:t>甘肃宏汇能源化工有限公司要严格执行《安全生产法》等法律法规，认真制定、落实安全生产责任制、安全生产规章制度和各工种操作规程。加强公司安全教育培训工作，大力提升职工安全意识，令职工掌握危险场所作业安全操作技术、防范和应急处置办法，杜绝事故再次发生。</w:t>
      </w:r>
    </w:p>
    <w:p w14:paraId="0B5DA548" w14:textId="77777777" w:rsidR="007D50B1" w:rsidRPr="007D50B1" w:rsidRDefault="007D50B1" w:rsidP="007D50B1">
      <w:pPr>
        <w:rPr>
          <w:sz w:val="24"/>
          <w:szCs w:val="28"/>
        </w:rPr>
      </w:pPr>
      <w:r w:rsidRPr="007D50B1">
        <w:rPr>
          <w:sz w:val="24"/>
          <w:szCs w:val="28"/>
        </w:rPr>
        <w:t>（三）</w:t>
      </w:r>
      <w:r w:rsidRPr="007D50B1">
        <w:rPr>
          <w:b/>
          <w:bCs/>
          <w:sz w:val="24"/>
          <w:szCs w:val="28"/>
        </w:rPr>
        <w:t>甘肃宏汇能源化工有限公司，</w:t>
      </w:r>
      <w:r w:rsidRPr="007D50B1">
        <w:rPr>
          <w:sz w:val="24"/>
          <w:szCs w:val="28"/>
        </w:rPr>
        <w:t>要深刻吸取事故教训，认真贯彻执行《安全生产法》、《甘肃省安全生产条例》、《甘肃省生产安全事故隐患排查治理办法》等有关法律法规，要严格落实安全生产教育培训工作，加强对从业人员进行安全生产规章制度和安全操作规程的培训。要严格依据《安全生产法》等相关法律法规规定，制定有效可行的安全管理制度、岗位操作规程，保障人员生命财产安全。开展隐患排查治理，及时消除作业现场存在的安全隐患。</w:t>
      </w:r>
    </w:p>
    <w:p w14:paraId="229A7886" w14:textId="69AB97D6" w:rsidR="007D50B1" w:rsidRPr="007D50B1" w:rsidRDefault="007D50B1" w:rsidP="00A93F18">
      <w:pPr>
        <w:ind w:firstLineChars="700" w:firstLine="1680"/>
        <w:jc w:val="right"/>
        <w:rPr>
          <w:sz w:val="24"/>
          <w:szCs w:val="28"/>
        </w:rPr>
      </w:pPr>
      <w:r w:rsidRPr="007D50B1">
        <w:rPr>
          <w:sz w:val="24"/>
          <w:szCs w:val="28"/>
        </w:rPr>
        <w:t xml:space="preserve">甘肃宏汇能源化工有限公司“11·12”事故调查组 </w:t>
      </w:r>
    </w:p>
    <w:p w14:paraId="1B0E7D74" w14:textId="77777777" w:rsidR="007D50B1" w:rsidRPr="007D50B1" w:rsidRDefault="007D50B1" w:rsidP="00A93F18">
      <w:pPr>
        <w:ind w:firstLineChars="2300" w:firstLine="5520"/>
        <w:jc w:val="right"/>
        <w:rPr>
          <w:sz w:val="24"/>
          <w:szCs w:val="28"/>
        </w:rPr>
      </w:pPr>
      <w:r w:rsidRPr="007D50B1">
        <w:rPr>
          <w:sz w:val="24"/>
          <w:szCs w:val="28"/>
        </w:rPr>
        <w:t>2019年2月20日</w:t>
      </w:r>
    </w:p>
    <w:p w14:paraId="47979AEB" w14:textId="77777777" w:rsidR="007D50B1" w:rsidRPr="00A93F18" w:rsidRDefault="007D50B1">
      <w:pPr>
        <w:rPr>
          <w:rFonts w:hint="eastAsia"/>
          <w:sz w:val="24"/>
          <w:szCs w:val="28"/>
        </w:rPr>
      </w:pPr>
    </w:p>
    <w:sectPr w:rsidR="007D50B1" w:rsidRPr="00A93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B6CC" w14:textId="77777777" w:rsidR="007D50B1" w:rsidRDefault="007D50B1" w:rsidP="007D50B1">
      <w:pPr>
        <w:rPr>
          <w:rFonts w:hint="eastAsia"/>
        </w:rPr>
      </w:pPr>
      <w:r>
        <w:separator/>
      </w:r>
    </w:p>
  </w:endnote>
  <w:endnote w:type="continuationSeparator" w:id="0">
    <w:p w14:paraId="63BD47B9" w14:textId="77777777" w:rsidR="007D50B1" w:rsidRDefault="007D50B1" w:rsidP="007D50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67C8" w14:textId="77777777" w:rsidR="007D50B1" w:rsidRDefault="007D50B1" w:rsidP="007D50B1">
      <w:pPr>
        <w:rPr>
          <w:rFonts w:hint="eastAsia"/>
        </w:rPr>
      </w:pPr>
      <w:r>
        <w:separator/>
      </w:r>
    </w:p>
  </w:footnote>
  <w:footnote w:type="continuationSeparator" w:id="0">
    <w:p w14:paraId="69029370" w14:textId="77777777" w:rsidR="007D50B1" w:rsidRDefault="007D50B1" w:rsidP="007D50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62"/>
    <w:rsid w:val="00227E9D"/>
    <w:rsid w:val="00761114"/>
    <w:rsid w:val="007D50B1"/>
    <w:rsid w:val="00990FAF"/>
    <w:rsid w:val="00A93F18"/>
    <w:rsid w:val="00C4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FC4E0"/>
  <w15:chartTrackingRefBased/>
  <w15:docId w15:val="{4459983E-34E8-44D3-B5AB-CF585FC7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0A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40A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40A6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40A6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40A6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40A6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40A6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A6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40A6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A6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40A6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40A6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40A62"/>
    <w:rPr>
      <w:rFonts w:cstheme="majorBidi"/>
      <w:color w:val="0F4761" w:themeColor="accent1" w:themeShade="BF"/>
      <w:sz w:val="28"/>
      <w:szCs w:val="28"/>
    </w:rPr>
  </w:style>
  <w:style w:type="character" w:customStyle="1" w:styleId="50">
    <w:name w:val="标题 5 字符"/>
    <w:basedOn w:val="a0"/>
    <w:link w:val="5"/>
    <w:uiPriority w:val="9"/>
    <w:semiHidden/>
    <w:rsid w:val="00C40A62"/>
    <w:rPr>
      <w:rFonts w:cstheme="majorBidi"/>
      <w:color w:val="0F4761" w:themeColor="accent1" w:themeShade="BF"/>
      <w:sz w:val="24"/>
      <w:szCs w:val="24"/>
    </w:rPr>
  </w:style>
  <w:style w:type="character" w:customStyle="1" w:styleId="60">
    <w:name w:val="标题 6 字符"/>
    <w:basedOn w:val="a0"/>
    <w:link w:val="6"/>
    <w:uiPriority w:val="9"/>
    <w:semiHidden/>
    <w:rsid w:val="00C40A62"/>
    <w:rPr>
      <w:rFonts w:cstheme="majorBidi"/>
      <w:b/>
      <w:bCs/>
      <w:color w:val="0F4761" w:themeColor="accent1" w:themeShade="BF"/>
    </w:rPr>
  </w:style>
  <w:style w:type="character" w:customStyle="1" w:styleId="70">
    <w:name w:val="标题 7 字符"/>
    <w:basedOn w:val="a0"/>
    <w:link w:val="7"/>
    <w:uiPriority w:val="9"/>
    <w:semiHidden/>
    <w:rsid w:val="00C40A62"/>
    <w:rPr>
      <w:rFonts w:cstheme="majorBidi"/>
      <w:b/>
      <w:bCs/>
      <w:color w:val="595959" w:themeColor="text1" w:themeTint="A6"/>
    </w:rPr>
  </w:style>
  <w:style w:type="character" w:customStyle="1" w:styleId="80">
    <w:name w:val="标题 8 字符"/>
    <w:basedOn w:val="a0"/>
    <w:link w:val="8"/>
    <w:uiPriority w:val="9"/>
    <w:semiHidden/>
    <w:rsid w:val="00C40A62"/>
    <w:rPr>
      <w:rFonts w:cstheme="majorBidi"/>
      <w:color w:val="595959" w:themeColor="text1" w:themeTint="A6"/>
    </w:rPr>
  </w:style>
  <w:style w:type="character" w:customStyle="1" w:styleId="90">
    <w:name w:val="标题 9 字符"/>
    <w:basedOn w:val="a0"/>
    <w:link w:val="9"/>
    <w:uiPriority w:val="9"/>
    <w:semiHidden/>
    <w:rsid w:val="00C40A62"/>
    <w:rPr>
      <w:rFonts w:eastAsiaTheme="majorEastAsia" w:cstheme="majorBidi"/>
      <w:color w:val="595959" w:themeColor="text1" w:themeTint="A6"/>
    </w:rPr>
  </w:style>
  <w:style w:type="paragraph" w:styleId="a3">
    <w:name w:val="Title"/>
    <w:basedOn w:val="a"/>
    <w:next w:val="a"/>
    <w:link w:val="a4"/>
    <w:uiPriority w:val="10"/>
    <w:qFormat/>
    <w:rsid w:val="00C40A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A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A62"/>
    <w:pPr>
      <w:spacing w:before="160" w:after="160"/>
      <w:jc w:val="center"/>
    </w:pPr>
    <w:rPr>
      <w:i/>
      <w:iCs/>
      <w:color w:val="404040" w:themeColor="text1" w:themeTint="BF"/>
    </w:rPr>
  </w:style>
  <w:style w:type="character" w:customStyle="1" w:styleId="a8">
    <w:name w:val="引用 字符"/>
    <w:basedOn w:val="a0"/>
    <w:link w:val="a7"/>
    <w:uiPriority w:val="29"/>
    <w:rsid w:val="00C40A62"/>
    <w:rPr>
      <w:i/>
      <w:iCs/>
      <w:color w:val="404040" w:themeColor="text1" w:themeTint="BF"/>
    </w:rPr>
  </w:style>
  <w:style w:type="paragraph" w:styleId="a9">
    <w:name w:val="List Paragraph"/>
    <w:basedOn w:val="a"/>
    <w:uiPriority w:val="34"/>
    <w:qFormat/>
    <w:rsid w:val="00C40A62"/>
    <w:pPr>
      <w:ind w:left="720"/>
      <w:contextualSpacing/>
    </w:pPr>
  </w:style>
  <w:style w:type="character" w:styleId="aa">
    <w:name w:val="Intense Emphasis"/>
    <w:basedOn w:val="a0"/>
    <w:uiPriority w:val="21"/>
    <w:qFormat/>
    <w:rsid w:val="00C40A62"/>
    <w:rPr>
      <w:i/>
      <w:iCs/>
      <w:color w:val="0F4761" w:themeColor="accent1" w:themeShade="BF"/>
    </w:rPr>
  </w:style>
  <w:style w:type="paragraph" w:styleId="ab">
    <w:name w:val="Intense Quote"/>
    <w:basedOn w:val="a"/>
    <w:next w:val="a"/>
    <w:link w:val="ac"/>
    <w:uiPriority w:val="30"/>
    <w:qFormat/>
    <w:rsid w:val="00C4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40A62"/>
    <w:rPr>
      <w:i/>
      <w:iCs/>
      <w:color w:val="0F4761" w:themeColor="accent1" w:themeShade="BF"/>
    </w:rPr>
  </w:style>
  <w:style w:type="character" w:styleId="ad">
    <w:name w:val="Intense Reference"/>
    <w:basedOn w:val="a0"/>
    <w:uiPriority w:val="32"/>
    <w:qFormat/>
    <w:rsid w:val="00C40A62"/>
    <w:rPr>
      <w:b/>
      <w:bCs/>
      <w:smallCaps/>
      <w:color w:val="0F4761" w:themeColor="accent1" w:themeShade="BF"/>
      <w:spacing w:val="5"/>
    </w:rPr>
  </w:style>
  <w:style w:type="paragraph" w:styleId="ae">
    <w:name w:val="header"/>
    <w:basedOn w:val="a"/>
    <w:link w:val="af"/>
    <w:uiPriority w:val="99"/>
    <w:unhideWhenUsed/>
    <w:rsid w:val="007D50B1"/>
    <w:pPr>
      <w:tabs>
        <w:tab w:val="center" w:pos="4153"/>
        <w:tab w:val="right" w:pos="8306"/>
      </w:tabs>
      <w:snapToGrid w:val="0"/>
      <w:jc w:val="center"/>
    </w:pPr>
    <w:rPr>
      <w:sz w:val="18"/>
      <w:szCs w:val="18"/>
    </w:rPr>
  </w:style>
  <w:style w:type="character" w:customStyle="1" w:styleId="af">
    <w:name w:val="页眉 字符"/>
    <w:basedOn w:val="a0"/>
    <w:link w:val="ae"/>
    <w:uiPriority w:val="99"/>
    <w:rsid w:val="007D50B1"/>
    <w:rPr>
      <w:sz w:val="18"/>
      <w:szCs w:val="18"/>
    </w:rPr>
  </w:style>
  <w:style w:type="paragraph" w:styleId="af0">
    <w:name w:val="footer"/>
    <w:basedOn w:val="a"/>
    <w:link w:val="af1"/>
    <w:uiPriority w:val="99"/>
    <w:unhideWhenUsed/>
    <w:rsid w:val="007D50B1"/>
    <w:pPr>
      <w:tabs>
        <w:tab w:val="center" w:pos="4153"/>
        <w:tab w:val="right" w:pos="8306"/>
      </w:tabs>
      <w:snapToGrid w:val="0"/>
      <w:jc w:val="left"/>
    </w:pPr>
    <w:rPr>
      <w:sz w:val="18"/>
      <w:szCs w:val="18"/>
    </w:rPr>
  </w:style>
  <w:style w:type="character" w:customStyle="1" w:styleId="af1">
    <w:name w:val="页脚 字符"/>
    <w:basedOn w:val="a0"/>
    <w:link w:val="af0"/>
    <w:uiPriority w:val="99"/>
    <w:rsid w:val="007D50B1"/>
    <w:rPr>
      <w:sz w:val="18"/>
      <w:szCs w:val="18"/>
    </w:rPr>
  </w:style>
  <w:style w:type="character" w:styleId="af2">
    <w:name w:val="Hyperlink"/>
    <w:basedOn w:val="a0"/>
    <w:uiPriority w:val="99"/>
    <w:unhideWhenUsed/>
    <w:rsid w:val="00A93F18"/>
    <w:rPr>
      <w:color w:val="467886" w:themeColor="hyperlink"/>
      <w:u w:val="single"/>
    </w:rPr>
  </w:style>
  <w:style w:type="character" w:styleId="af3">
    <w:name w:val="Unresolved Mention"/>
    <w:basedOn w:val="a0"/>
    <w:uiPriority w:val="99"/>
    <w:semiHidden/>
    <w:unhideWhenUsed/>
    <w:rsid w:val="00A9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70542">
      <w:bodyDiv w:val="1"/>
      <w:marLeft w:val="0"/>
      <w:marRight w:val="0"/>
      <w:marTop w:val="0"/>
      <w:marBottom w:val="0"/>
      <w:divBdr>
        <w:top w:val="none" w:sz="0" w:space="0" w:color="auto"/>
        <w:left w:val="none" w:sz="0" w:space="0" w:color="auto"/>
        <w:bottom w:val="none" w:sz="0" w:space="0" w:color="auto"/>
        <w:right w:val="none" w:sz="0" w:space="0" w:color="auto"/>
      </w:divBdr>
    </w:div>
    <w:div w:id="20816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yg.gov.cn/yjj/xwdt/tzgg/art/2022/art_70749c0c0d514aa18aed12021ce3d72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2025-01-25T12:40:00Z</dcterms:created>
  <dcterms:modified xsi:type="dcterms:W3CDTF">2025-01-25T12:42:00Z</dcterms:modified>
</cp:coreProperties>
</file>