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jc w:val="center"/>
        <w:tblCellSpacing w:w="0" w:type="dxa"/>
        <w:tblCellMar>
          <w:left w:w="0" w:type="dxa"/>
          <w:right w:w="0" w:type="dxa"/>
        </w:tblCellMar>
        <w:tblLook w:val="04A0" w:firstRow="1" w:lastRow="0" w:firstColumn="1" w:lastColumn="0" w:noHBand="0" w:noVBand="1"/>
      </w:tblPr>
      <w:tblGrid>
        <w:gridCol w:w="8223"/>
      </w:tblGrid>
      <w:tr w:rsidR="00BA0C3B" w:rsidRPr="00BA0C3B" w14:paraId="71141833" w14:textId="77777777" w:rsidTr="00BA0C3B">
        <w:trPr>
          <w:tblCellSpacing w:w="0" w:type="dxa"/>
          <w:jc w:val="center"/>
        </w:trPr>
        <w:tc>
          <w:tcPr>
            <w:tcW w:w="0" w:type="auto"/>
            <w:shd w:val="clear" w:color="auto" w:fill="auto"/>
            <w:tcMar>
              <w:top w:w="120" w:type="dxa"/>
              <w:left w:w="150" w:type="dxa"/>
              <w:bottom w:w="225" w:type="dxa"/>
              <w:right w:w="150" w:type="dxa"/>
            </w:tcMar>
            <w:vAlign w:val="center"/>
            <w:hideMark/>
          </w:tcPr>
          <w:p w14:paraId="7D24350C" w14:textId="77777777" w:rsidR="00BA0C3B" w:rsidRPr="00BA0C3B" w:rsidRDefault="00BA0C3B" w:rsidP="00BA0C3B">
            <w:pPr>
              <w:widowControl/>
              <w:spacing w:line="450" w:lineRule="atLeast"/>
              <w:jc w:val="center"/>
              <w:rPr>
                <w:rFonts w:ascii="&amp;quot" w:eastAsia="宋体" w:hAnsi="&amp;quot" w:cs="宋体"/>
                <w:color w:val="D10000"/>
                <w:kern w:val="0"/>
                <w:sz w:val="33"/>
                <w:szCs w:val="33"/>
              </w:rPr>
            </w:pPr>
            <w:r w:rsidRPr="00BA0C3B">
              <w:rPr>
                <w:rFonts w:ascii="&amp;quot" w:eastAsia="宋体" w:hAnsi="&amp;quot" w:cs="宋体"/>
                <w:color w:val="D10000"/>
                <w:kern w:val="0"/>
                <w:sz w:val="33"/>
                <w:szCs w:val="33"/>
              </w:rPr>
              <w:t>江苏磐希化工有限公司</w:t>
            </w:r>
            <w:r w:rsidRPr="00BA0C3B">
              <w:rPr>
                <w:rFonts w:ascii="&amp;quot" w:eastAsia="宋体" w:hAnsi="&amp;quot" w:cs="宋体"/>
                <w:color w:val="D10000"/>
                <w:kern w:val="0"/>
                <w:sz w:val="33"/>
                <w:szCs w:val="33"/>
              </w:rPr>
              <w:t xml:space="preserve"> “3•22”</w:t>
            </w:r>
            <w:r w:rsidRPr="00BA0C3B">
              <w:rPr>
                <w:rFonts w:ascii="&amp;quot" w:eastAsia="宋体" w:hAnsi="&amp;quot" w:cs="宋体"/>
                <w:color w:val="D10000"/>
                <w:kern w:val="0"/>
                <w:sz w:val="33"/>
                <w:szCs w:val="33"/>
              </w:rPr>
              <w:t>一般爆炸事故调查报告</w:t>
            </w:r>
          </w:p>
        </w:tc>
      </w:tr>
      <w:tr w:rsidR="00BA0C3B" w:rsidRPr="00BA0C3B" w14:paraId="06181F5C" w14:textId="77777777" w:rsidTr="00BA0C3B">
        <w:trPr>
          <w:trHeight w:val="50"/>
          <w:tblCellSpacing w:w="0" w:type="dxa"/>
          <w:jc w:val="center"/>
        </w:trPr>
        <w:tc>
          <w:tcPr>
            <w:tcW w:w="0" w:type="auto"/>
            <w:shd w:val="clear" w:color="auto" w:fill="auto"/>
            <w:vAlign w:val="center"/>
            <w:hideMark/>
          </w:tcPr>
          <w:p w14:paraId="2AF14CB2" w14:textId="77777777" w:rsidR="00BA0C3B" w:rsidRPr="00BA0C3B" w:rsidRDefault="00BA0C3B" w:rsidP="00BA0C3B">
            <w:pPr>
              <w:widowControl/>
              <w:spacing w:line="450" w:lineRule="atLeast"/>
              <w:jc w:val="center"/>
              <w:rPr>
                <w:rFonts w:ascii="&amp;quot" w:eastAsia="宋体" w:hAnsi="&amp;quot" w:cs="宋体"/>
                <w:color w:val="D10000"/>
                <w:kern w:val="0"/>
                <w:sz w:val="33"/>
                <w:szCs w:val="33"/>
              </w:rPr>
            </w:pPr>
          </w:p>
        </w:tc>
      </w:tr>
      <w:tr w:rsidR="00BA0C3B" w:rsidRPr="00BA0C3B" w14:paraId="62270B84" w14:textId="77777777" w:rsidTr="00BA0C3B">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BA0C3B" w:rsidRPr="00BA0C3B" w14:paraId="1BF281C1" w14:textId="77777777">
              <w:trPr>
                <w:trHeight w:val="400"/>
                <w:tblCellSpacing w:w="0" w:type="dxa"/>
                <w:jc w:val="center"/>
              </w:trPr>
              <w:tc>
                <w:tcPr>
                  <w:tcW w:w="0" w:type="auto"/>
                  <w:vAlign w:val="center"/>
                  <w:hideMark/>
                </w:tcPr>
                <w:p w14:paraId="6677C5F7" w14:textId="10F1FCB1" w:rsidR="00BA0C3B" w:rsidRPr="00BA0C3B" w:rsidRDefault="00BA0C3B" w:rsidP="00BA0C3B">
                  <w:pPr>
                    <w:widowControl/>
                    <w:spacing w:line="320" w:lineRule="atLeast"/>
                    <w:jc w:val="center"/>
                    <w:rPr>
                      <w:rFonts w:ascii="宋体" w:eastAsia="宋体" w:hAnsi="宋体" w:cs="宋体"/>
                      <w:color w:val="3D3D3D"/>
                      <w:kern w:val="0"/>
                      <w:sz w:val="18"/>
                      <w:szCs w:val="18"/>
                    </w:rPr>
                  </w:pPr>
                  <w:r w:rsidRPr="00BA0C3B">
                    <w:rPr>
                      <w:rFonts w:ascii="宋体" w:eastAsia="宋体" w:hAnsi="宋体" w:cs="宋体" w:hint="eastAsia"/>
                      <w:color w:val="3D3D3D"/>
                      <w:kern w:val="0"/>
                      <w:sz w:val="18"/>
                      <w:szCs w:val="18"/>
                    </w:rPr>
                    <w:t xml:space="preserve">日期：2015-12-15 浏览次数：281 字号：[ </w:t>
                  </w:r>
                  <w:hyperlink r:id="rId6" w:history="1">
                    <w:r w:rsidRPr="00BA0C3B">
                      <w:rPr>
                        <w:rFonts w:ascii="宋体" w:eastAsia="宋体" w:hAnsi="宋体" w:cs="宋体" w:hint="eastAsia"/>
                        <w:color w:val="3D3D3D"/>
                        <w:kern w:val="0"/>
                        <w:sz w:val="18"/>
                        <w:szCs w:val="18"/>
                        <w:u w:val="single"/>
                      </w:rPr>
                      <w:t>大</w:t>
                    </w:r>
                  </w:hyperlink>
                  <w:r w:rsidRPr="00BA0C3B">
                    <w:rPr>
                      <w:rFonts w:ascii="宋体" w:eastAsia="宋体" w:hAnsi="宋体" w:cs="宋体" w:hint="eastAsia"/>
                      <w:color w:val="3D3D3D"/>
                      <w:kern w:val="0"/>
                      <w:sz w:val="18"/>
                      <w:szCs w:val="18"/>
                    </w:rPr>
                    <w:t xml:space="preserve"> </w:t>
                  </w:r>
                  <w:hyperlink r:id="rId7" w:history="1">
                    <w:r w:rsidRPr="00BA0C3B">
                      <w:rPr>
                        <w:rFonts w:ascii="宋体" w:eastAsia="宋体" w:hAnsi="宋体" w:cs="宋体" w:hint="eastAsia"/>
                        <w:color w:val="3D3D3D"/>
                        <w:kern w:val="0"/>
                        <w:sz w:val="18"/>
                        <w:szCs w:val="18"/>
                        <w:u w:val="single"/>
                      </w:rPr>
                      <w:t>中</w:t>
                    </w:r>
                  </w:hyperlink>
                  <w:r w:rsidRPr="00BA0C3B">
                    <w:rPr>
                      <w:rFonts w:ascii="宋体" w:eastAsia="宋体" w:hAnsi="宋体" w:cs="宋体" w:hint="eastAsia"/>
                      <w:color w:val="3D3D3D"/>
                      <w:kern w:val="0"/>
                      <w:sz w:val="18"/>
                      <w:szCs w:val="18"/>
                    </w:rPr>
                    <w:t xml:space="preserve"> </w:t>
                  </w:r>
                  <w:hyperlink r:id="rId8" w:history="1">
                    <w:r w:rsidRPr="00BA0C3B">
                      <w:rPr>
                        <w:rFonts w:ascii="宋体" w:eastAsia="宋体" w:hAnsi="宋体" w:cs="宋体" w:hint="eastAsia"/>
                        <w:color w:val="3D3D3D"/>
                        <w:kern w:val="0"/>
                        <w:sz w:val="18"/>
                        <w:szCs w:val="18"/>
                        <w:u w:val="single"/>
                      </w:rPr>
                      <w:t>小</w:t>
                    </w:r>
                  </w:hyperlink>
                  <w:r w:rsidRPr="00BA0C3B">
                    <w:rPr>
                      <w:rFonts w:ascii="宋体" w:eastAsia="宋体" w:hAnsi="宋体" w:cs="宋体" w:hint="eastAsia"/>
                      <w:color w:val="3D3D3D"/>
                      <w:kern w:val="0"/>
                      <w:sz w:val="18"/>
                      <w:szCs w:val="18"/>
                    </w:rPr>
                    <w:t xml:space="preserve"> ] 视力保护色： </w:t>
                  </w:r>
                  <w:r w:rsidRPr="00BA0C3B">
                    <w:rPr>
                      <w:rFonts w:ascii="宋体" w:eastAsia="宋体" w:hAnsi="宋体" w:cs="宋体"/>
                      <w:color w:val="3D3D3D"/>
                      <w:kern w:val="0"/>
                      <w:sz w:val="18"/>
                      <w:szCs w:val="18"/>
                    </w:rPr>
                    <w:object w:dxaOrig="225" w:dyaOrig="225" w14:anchorId="49682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5pt;height:6.5pt" o:ole="">
                        <v:imagedata r:id="rId9" o:title=""/>
                      </v:shape>
                      <w:control r:id="rId10" w:name="DefaultOcxName" w:shapeid="_x0000_i1042"/>
                    </w:object>
                  </w:r>
                  <w:r w:rsidRPr="00BA0C3B">
                    <w:rPr>
                      <w:rFonts w:ascii="宋体" w:eastAsia="宋体" w:hAnsi="宋体" w:cs="宋体"/>
                      <w:color w:val="3D3D3D"/>
                      <w:kern w:val="0"/>
                      <w:sz w:val="18"/>
                      <w:szCs w:val="18"/>
                    </w:rPr>
                    <w:object w:dxaOrig="225" w:dyaOrig="225" w14:anchorId="3C0542D1">
                      <v:shape id="_x0000_i1041" type="#_x0000_t75" style="width:6.5pt;height:6.5pt" o:ole="">
                        <v:imagedata r:id="rId11" o:title=""/>
                      </v:shape>
                      <w:control r:id="rId12" w:name="DefaultOcxName1" w:shapeid="_x0000_i1041"/>
                    </w:object>
                  </w:r>
                  <w:r w:rsidRPr="00BA0C3B">
                    <w:rPr>
                      <w:rFonts w:ascii="宋体" w:eastAsia="宋体" w:hAnsi="宋体" w:cs="宋体"/>
                      <w:color w:val="3D3D3D"/>
                      <w:kern w:val="0"/>
                      <w:sz w:val="18"/>
                      <w:szCs w:val="18"/>
                    </w:rPr>
                    <w:object w:dxaOrig="225" w:dyaOrig="225" w14:anchorId="30E12F95">
                      <v:shape id="_x0000_i1040" type="#_x0000_t75" style="width:6.5pt;height:6.5pt" o:ole="">
                        <v:imagedata r:id="rId13" o:title=""/>
                      </v:shape>
                      <w:control r:id="rId14" w:name="DefaultOcxName2" w:shapeid="_x0000_i1040"/>
                    </w:object>
                  </w:r>
                  <w:r w:rsidRPr="00BA0C3B">
                    <w:rPr>
                      <w:rFonts w:ascii="宋体" w:eastAsia="宋体" w:hAnsi="宋体" w:cs="宋体"/>
                      <w:color w:val="3D3D3D"/>
                      <w:kern w:val="0"/>
                      <w:sz w:val="18"/>
                      <w:szCs w:val="18"/>
                    </w:rPr>
                    <w:object w:dxaOrig="225" w:dyaOrig="225" w14:anchorId="49EB30EF">
                      <v:shape id="_x0000_i1039" type="#_x0000_t75" style="width:6.5pt;height:6.5pt" o:ole="">
                        <v:imagedata r:id="rId15" o:title=""/>
                      </v:shape>
                      <w:control r:id="rId16" w:name="DefaultOcxName3" w:shapeid="_x0000_i1039"/>
                    </w:object>
                  </w:r>
                  <w:r w:rsidRPr="00BA0C3B">
                    <w:rPr>
                      <w:rFonts w:ascii="宋体" w:eastAsia="宋体" w:hAnsi="宋体" w:cs="宋体"/>
                      <w:color w:val="3D3D3D"/>
                      <w:kern w:val="0"/>
                      <w:sz w:val="18"/>
                      <w:szCs w:val="18"/>
                    </w:rPr>
                    <w:object w:dxaOrig="225" w:dyaOrig="225" w14:anchorId="5EC11771">
                      <v:shape id="_x0000_i1038" type="#_x0000_t75" style="width:6.5pt;height:6.5pt" o:ole="">
                        <v:imagedata r:id="rId17" o:title=""/>
                      </v:shape>
                      <w:control r:id="rId18" w:name="DefaultOcxName4" w:shapeid="_x0000_i1038"/>
                    </w:object>
                  </w:r>
                  <w:r w:rsidRPr="00BA0C3B">
                    <w:rPr>
                      <w:rFonts w:ascii="宋体" w:eastAsia="宋体" w:hAnsi="宋体" w:cs="宋体"/>
                      <w:color w:val="3D3D3D"/>
                      <w:kern w:val="0"/>
                      <w:sz w:val="18"/>
                      <w:szCs w:val="18"/>
                    </w:rPr>
                    <w:object w:dxaOrig="225" w:dyaOrig="225" w14:anchorId="30AD22FE">
                      <v:shape id="_x0000_i1037" type="#_x0000_t75" style="width:6.5pt;height:6.5pt" o:ole="">
                        <v:imagedata r:id="rId19" o:title=""/>
                      </v:shape>
                      <w:control r:id="rId20" w:name="DefaultOcxName5" w:shapeid="_x0000_i1037"/>
                    </w:object>
                  </w:r>
                </w:p>
              </w:tc>
            </w:tr>
          </w:tbl>
          <w:p w14:paraId="4168879B" w14:textId="77777777" w:rsidR="00BA0C3B" w:rsidRPr="00BA0C3B" w:rsidRDefault="00BA0C3B" w:rsidP="00BA0C3B">
            <w:pPr>
              <w:widowControl/>
              <w:spacing w:line="320" w:lineRule="atLeast"/>
              <w:jc w:val="left"/>
              <w:rPr>
                <w:rFonts w:ascii="宋体" w:eastAsia="宋体" w:hAnsi="宋体" w:cs="宋体" w:hint="eastAsia"/>
                <w:color w:val="3D3D3D"/>
                <w:kern w:val="0"/>
                <w:sz w:val="18"/>
                <w:szCs w:val="18"/>
              </w:rPr>
            </w:pPr>
          </w:p>
        </w:tc>
      </w:tr>
      <w:tr w:rsidR="00BA0C3B" w:rsidRPr="00BA0C3B" w14:paraId="16DCEE9C" w14:textId="77777777" w:rsidTr="00BA0C3B">
        <w:trPr>
          <w:tblCellSpacing w:w="0" w:type="dxa"/>
          <w:jc w:val="center"/>
        </w:trPr>
        <w:tc>
          <w:tcPr>
            <w:tcW w:w="0" w:type="auto"/>
            <w:shd w:val="clear" w:color="auto" w:fill="auto"/>
            <w:hideMark/>
          </w:tcPr>
          <w:p w14:paraId="0EF1A85D" w14:textId="77777777" w:rsidR="00BA0C3B" w:rsidRPr="00BA0C3B" w:rsidRDefault="00BA0C3B" w:rsidP="00BA0C3B">
            <w:pPr>
              <w:widowControl/>
              <w:spacing w:before="100" w:beforeAutospacing="1" w:after="100" w:afterAutospacing="1" w:line="390" w:lineRule="atLeast"/>
              <w:jc w:val="left"/>
              <w:rPr>
                <w:rFonts w:ascii="&amp;quot" w:eastAsia="宋体" w:hAnsi="&amp;quot" w:cs="宋体"/>
                <w:color w:val="333333"/>
                <w:kern w:val="0"/>
                <w:szCs w:val="21"/>
              </w:rPr>
            </w:pPr>
            <w:r w:rsidRPr="00BA0C3B">
              <w:rPr>
                <w:rFonts w:ascii="&amp;quot" w:eastAsia="宋体" w:hAnsi="&amp;quot" w:cs="宋体"/>
                <w:color w:val="333333"/>
                <w:kern w:val="0"/>
                <w:szCs w:val="21"/>
              </w:rPr>
              <w:t> </w:t>
            </w:r>
          </w:p>
          <w:p w14:paraId="67D4B05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2015年3月22日15时40分左右，江苏磐希化工有限公司内发生一起爆炸事故，造成2人死亡，直接经济损失约300万元。</w:t>
            </w:r>
          </w:p>
          <w:p w14:paraId="657E7237"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依据《生产安全事故报告和调查处理条例》（国务院令第493号）等法律法规规定，经泰兴市人民政府授权，泰兴市安监局牵头组织市监察局、公安局、总工会等单位，并邀请市人民检察院派员参加，成立了江苏磐希化工有限公司“3·22”事故调查组（以下简称事故调查组）。同时聘请了3名专家对事故原因进行分析。</w:t>
            </w:r>
          </w:p>
          <w:p w14:paraId="3EF09C0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事故调查组按照“四不放过”和“科学严谨、依法依规、实事求是、注重实效”的原则，</w:t>
            </w:r>
            <w:r w:rsidRPr="00BA0C3B">
              <w:rPr>
                <w:rFonts w:ascii="宋体" w:eastAsia="宋体" w:hAnsi="宋体" w:cs="宋体" w:hint="eastAsia"/>
                <w:color w:val="3D3D3D"/>
                <w:kern w:val="0"/>
                <w:sz w:val="18"/>
                <w:szCs w:val="18"/>
              </w:rPr>
              <w:t>依据《中华人民共和国安全生产法》以及相关法律、法规的规定，</w:t>
            </w:r>
            <w:r w:rsidRPr="00BA0C3B">
              <w:rPr>
                <w:rFonts w:ascii="宋体" w:eastAsia="宋体" w:hAnsi="宋体" w:cs="宋体" w:hint="eastAsia"/>
                <w:color w:val="000000"/>
                <w:kern w:val="0"/>
                <w:sz w:val="18"/>
                <w:szCs w:val="18"/>
              </w:rPr>
              <w:t>经过周密细致的现场勘验、调查取证、综合分析和专家论证，查明了事故发生的原因、经过和直接经济损失等情况，认定了事故性质和责任，提出了对有关责任人、单位的处理建议和事故防范及整改措施建议。现将有关情况报告如下：</w:t>
            </w:r>
          </w:p>
          <w:p w14:paraId="2F9F39B3"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一、基本情况</w:t>
            </w:r>
          </w:p>
          <w:p w14:paraId="0A754A7E"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（一）事故单位情况</w:t>
            </w:r>
          </w:p>
          <w:p w14:paraId="50B77BAB" w14:textId="77777777" w:rsidR="00BA0C3B" w:rsidRPr="00BA0C3B" w:rsidRDefault="00BA0C3B" w:rsidP="00BA0C3B">
            <w:pPr>
              <w:widowControl/>
              <w:spacing w:before="100" w:beforeAutospacing="1" w:after="100" w:afterAutospacing="1" w:line="39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江苏磐希化工有限公司（以下简称磐希化工）</w:t>
            </w:r>
            <w:r w:rsidRPr="00BA0C3B">
              <w:rPr>
                <w:rFonts w:ascii="&amp;quot" w:eastAsia="宋体" w:hAnsi="&amp;quot" w:cs="宋体"/>
                <w:color w:val="333333"/>
                <w:kern w:val="0"/>
                <w:szCs w:val="21"/>
              </w:rPr>
              <w:t>成立于</w:t>
            </w:r>
            <w:r w:rsidRPr="00BA0C3B">
              <w:rPr>
                <w:rFonts w:ascii="&amp;quot" w:eastAsia="宋体" w:hAnsi="&amp;quot" w:cs="宋体"/>
                <w:color w:val="333333"/>
                <w:kern w:val="0"/>
                <w:szCs w:val="21"/>
              </w:rPr>
              <w:t>1993</w:t>
            </w:r>
            <w:r w:rsidRPr="00BA0C3B">
              <w:rPr>
                <w:rFonts w:ascii="&amp;quot" w:eastAsia="宋体" w:hAnsi="&amp;quot" w:cs="宋体"/>
                <w:color w:val="333333"/>
                <w:kern w:val="0"/>
                <w:szCs w:val="21"/>
              </w:rPr>
              <w:t>年</w:t>
            </w:r>
            <w:r w:rsidRPr="00BA0C3B">
              <w:rPr>
                <w:rFonts w:ascii="&amp;quot" w:eastAsia="宋体" w:hAnsi="&amp;quot" w:cs="宋体"/>
                <w:color w:val="333333"/>
                <w:kern w:val="0"/>
                <w:szCs w:val="21"/>
              </w:rPr>
              <w:t>1</w:t>
            </w:r>
            <w:r w:rsidRPr="00BA0C3B">
              <w:rPr>
                <w:rFonts w:ascii="&amp;quot" w:eastAsia="宋体" w:hAnsi="&amp;quot" w:cs="宋体"/>
                <w:color w:val="333333"/>
                <w:kern w:val="0"/>
                <w:szCs w:val="21"/>
              </w:rPr>
              <w:t>月</w:t>
            </w:r>
            <w:r w:rsidRPr="00BA0C3B">
              <w:rPr>
                <w:rFonts w:ascii="&amp;quot" w:eastAsia="宋体" w:hAnsi="&amp;quot" w:cs="宋体"/>
                <w:color w:val="333333"/>
                <w:kern w:val="0"/>
                <w:szCs w:val="21"/>
              </w:rPr>
              <w:t>18</w:t>
            </w:r>
            <w:r w:rsidRPr="00BA0C3B">
              <w:rPr>
                <w:rFonts w:ascii="&amp;quot" w:eastAsia="宋体" w:hAnsi="&amp;quot" w:cs="宋体"/>
                <w:color w:val="333333"/>
                <w:kern w:val="0"/>
                <w:szCs w:val="21"/>
              </w:rPr>
              <w:t>日。</w:t>
            </w:r>
          </w:p>
          <w:p w14:paraId="2A103C4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（二）相关人员情况</w:t>
            </w:r>
          </w:p>
          <w:p w14:paraId="4BE5D5A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1．赵学民，男，41岁，磐希化工机修工，在此次事故中死亡。</w:t>
            </w:r>
          </w:p>
          <w:p w14:paraId="4B430BD0"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2．汪建强，男，53岁，磐希化工机修辅助工，在此次事故中死亡。</w:t>
            </w:r>
          </w:p>
          <w:p w14:paraId="66290CB7"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3．王海荣,男，43岁，磐希化工生产部副部长。</w:t>
            </w:r>
          </w:p>
          <w:p w14:paraId="4FD9C6B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4．张少华,男，42岁，磐希化工生产部部长。</w:t>
            </w:r>
          </w:p>
          <w:p w14:paraId="70A9F69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5．</w:t>
            </w:r>
            <w:r w:rsidRPr="00BA0C3B">
              <w:rPr>
                <w:rFonts w:ascii="宋体" w:eastAsia="宋体" w:hAnsi="宋体" w:cs="宋体" w:hint="eastAsia"/>
                <w:color w:val="3D3D3D"/>
                <w:kern w:val="0"/>
                <w:sz w:val="18"/>
                <w:szCs w:val="18"/>
              </w:rPr>
              <w:t>翟高平</w:t>
            </w:r>
            <w:r w:rsidRPr="00BA0C3B">
              <w:rPr>
                <w:rFonts w:ascii="宋体" w:eastAsia="宋体" w:hAnsi="宋体" w:cs="宋体" w:hint="eastAsia"/>
                <w:color w:val="000000"/>
                <w:kern w:val="0"/>
                <w:sz w:val="18"/>
                <w:szCs w:val="18"/>
              </w:rPr>
              <w:t>,男，58岁，磐希化工安环办主任。</w:t>
            </w:r>
          </w:p>
          <w:p w14:paraId="4366901E"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lastRenderedPageBreak/>
              <w:t>6．王松山,男，47岁，磐希化工二车间车间主任。</w:t>
            </w:r>
          </w:p>
          <w:p w14:paraId="50B3B9D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二、事故发生经过及应急处置情况</w:t>
            </w:r>
          </w:p>
          <w:p w14:paraId="19EC8ED9"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2015年3月22日上午8时，根据公司环保改造要求，生产部副部长王海荣安排机修工王东喜、张春良、赵学民，辅助工汪建强到位于公司西北侧的储罐区（罐区储罐情况：由北向南依次为50m3间二甲苯储罐，30m3邻二甲苯储罐，30m3间二甲苯储罐，30m3甲醇储罐。其中甲醇储罐配套二车间使用，其余三只储罐配套一车间使用）安装尾气吸附装置（工作具体内容为：拆除储罐原呼吸阀，安装尾气至活性炭吸附装置接管）。机修工张春良到现场后通知一车间主任谢照峰申请办理动火作业证，8时20分左右，生产部部长张少华来到现场询问盲板准备及管件预制情况后，开具动火作业证放置于现场电焊机上后离开。现场施工人员开始作业，上午完成北侧三只储罐作业任务。13时，机修工王东喜、张春良、赵学民，辅助工汪建强来到储罐区，未通知二车间主任申请动火作业证，在东侧地面进行部分管件预制工作。15时左右，赵学民、汪建强爬上罐顶使用角向砂轮机拆除甲醇储罐顶部的呼吸阀并安装不锈钢盲板，15时20分左右赵学民在甲醇储罐顶部焊接管道，15时40分左右甲醇储罐发生爆炸，罐体飞出砸到导热油管道引发火灾，在公司及消防部门的扑救下，16时左右火被扑灭。在罐顶施工的赵学民当场死亡，汪建强经送医院救治无效死亡。</w:t>
            </w:r>
          </w:p>
          <w:p w14:paraId="2330E157"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三、事故发生的原因和事故性质</w:t>
            </w:r>
          </w:p>
          <w:p w14:paraId="25419D86"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（一）直接原因</w:t>
            </w:r>
          </w:p>
          <w:p w14:paraId="6144EC21"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根据现场勘查和视频监控显示，施工人员在甲醇储罐顶部进行焊接时，电焊火花从呼吸阀旁边无盲板的接口飞溅至储罐内，引发储罐内甲醇蒸汽爆炸。</w:t>
            </w:r>
          </w:p>
          <w:p w14:paraId="2C238EA6"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（二）间接原因</w:t>
            </w:r>
          </w:p>
          <w:p w14:paraId="6B2435E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1．未按照规定进行动火分析，动火证签发管理混乱，有章不循。</w:t>
            </w:r>
          </w:p>
          <w:p w14:paraId="67355A60"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（1）动火负责人，未在动火作业前详细了解作业内容和动火部位及周围情况，未参与动火安全措施的制定、落实，未办理二车间甲醇储罐动火作业证。</w:t>
            </w:r>
          </w:p>
          <w:p w14:paraId="04D9053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（2）动火作业审批人，未按规定开具动火作业证，未将开具的动火作业证动火地点和时间向相关人员进行告知，未对动火作业安全措施落实情况进行确认。</w:t>
            </w:r>
          </w:p>
          <w:p w14:paraId="14A90D5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lastRenderedPageBreak/>
              <w:t>2．安全意识淡薄，企业安全主体责任不落实。</w:t>
            </w:r>
          </w:p>
          <w:p w14:paraId="34722CC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磐希化工，未制定特殊动火作业安全施工方案并落实安全防火措施；动火作业现场事故隐患排查治理不力，未能及时发现对二车间甲醇储罐实施动火作业时未开具动火作业证的行为；</w:t>
            </w:r>
            <w:r w:rsidRPr="00BA0C3B">
              <w:rPr>
                <w:rFonts w:ascii="宋体" w:eastAsia="宋体" w:hAnsi="宋体" w:cs="宋体" w:hint="eastAsia"/>
                <w:color w:val="3D3D3D"/>
                <w:kern w:val="0"/>
                <w:sz w:val="18"/>
                <w:szCs w:val="18"/>
              </w:rPr>
              <w:t>未教育和督促从业人员严格执行本单位的安全生产规章制度和安全操作规程。</w:t>
            </w:r>
          </w:p>
          <w:p w14:paraId="1B2BDA0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（三）事故性质</w:t>
            </w:r>
          </w:p>
          <w:p w14:paraId="7C5735C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事故调查组经过对事故原因的调查分析，认定磐希化工“3·22”一般爆炸事故是一起生产安全责任事故。</w:t>
            </w:r>
          </w:p>
          <w:p w14:paraId="38B7C05B"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四、对事故责任单位及相关责任人员的处理建议</w:t>
            </w:r>
          </w:p>
          <w:p w14:paraId="7C5B369A"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（一）事故相关责任人</w:t>
            </w:r>
          </w:p>
          <w:p w14:paraId="524AA017"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1．赵学民，作为动火作业动火人，未确认动火地点和时间，未确认安全措施落实情况，未携带动火作业证进行特殊动火作业，对事故的发生负有直接责任，鉴于其已死亡，建议不予追究其责任。</w:t>
            </w:r>
          </w:p>
          <w:p w14:paraId="13EC6CC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翟高平，磐希化工安环办主任，对安全生产现场监督检查不到位，没有及时发现对二车间甲醇储罐实施动火作业时未开具动火作业证的行为。对事故发生负有责任，建议由磐希化工依据内部管理规定对其进行处理并将处理情况书面报事故调查组。</w:t>
            </w:r>
          </w:p>
          <w:p w14:paraId="70168AC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3．王松山，磐希化工二车间主任，对本车间安全生产现场监督检查不到位，没有及时发现对二车间甲醇储罐实施动火作业时未开具动火作业证的行为。对事故发生负有责任，建议由磐希化工依据内部管理规定对其进行处理并将处理情况书面报事故调查组。</w:t>
            </w:r>
          </w:p>
          <w:p w14:paraId="2BD7B94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4．张少华，磐希化工生产部部长，作为动火作业的审批人，未按规定开具动火作业证，未将开具的动火作业证动火地点和时间向相关人员进行告知，未对动火作业安全措施落实情况进行确认。对事故发生负有责任，建议由磐希化工依据内部管理规定对其进行处理并将处理情况书面报事故调查组。</w:t>
            </w:r>
          </w:p>
          <w:p w14:paraId="0DEAEA47"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5．王海荣，磐希化工生产部副部长，作为动火负责人，未在动火作业前详细了解作业内容和动火部位及周围情况，未参与动火安全措施的制定、落实，未办理二车间甲醇储罐动火作业证。对事故发生负有主要责任，建议由公安机关对其进一步调查处理并将处理情况书面报事故调查组。</w:t>
            </w:r>
          </w:p>
          <w:p w14:paraId="082A5C58"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（二）事故单位</w:t>
            </w:r>
          </w:p>
          <w:p w14:paraId="5C25586F"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lastRenderedPageBreak/>
              <w:t>磐希化工，未制定特殊动火作业安全施工方案并落实安全防火措施，违反《化学品生产单位动火作业安全规范》（AQ3022-2008）5.2.2的规定；动火作业现场事故隐患排查治理不力，未能及时发现发现对二车间甲醇储罐实施动火作业时未开具动火作业证的行为，违反了《中华人民共和国安全生产法》第三十六条第一款“生产经营单位应当建立健全生产安全事故隐患排查治理制度，采取技术、管理措施，及时发现并消除事故隐患。事故隐患排查治理情况应当如实记录，并向从业人员通报。”的规定；未教育和督促从业人员严格执行本单位的安全生产规章制度和</w:t>
            </w:r>
            <w:r w:rsidRPr="00BA0C3B">
              <w:rPr>
                <w:rFonts w:ascii="宋体" w:eastAsia="宋体" w:hAnsi="宋体" w:cs="宋体" w:hint="eastAsia"/>
                <w:color w:val="3D3D3D"/>
                <w:kern w:val="0"/>
                <w:sz w:val="18"/>
                <w:szCs w:val="18"/>
              </w:rPr>
              <w:t>安全操作规程，违反了《中华人民共和国安全生产法》第四十一条“生产经营单位应当教育和督促从业人员严格执行本单位的安全生产规章制度和安全操作规程；并向从业人员如实告知作业场所和工作岗位存在的危险因素、防范措施以及事故应急措施。”的规定，</w:t>
            </w:r>
            <w:r w:rsidRPr="00BA0C3B">
              <w:rPr>
                <w:rFonts w:ascii="宋体" w:eastAsia="宋体" w:hAnsi="宋体" w:cs="宋体" w:hint="eastAsia"/>
                <w:color w:val="000000"/>
                <w:kern w:val="0"/>
                <w:sz w:val="18"/>
                <w:szCs w:val="18"/>
              </w:rPr>
              <w:t>磐希化工对事故的发生负有主要责任，建议由泰兴市安监局按照《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的规定对其进行处理。</w:t>
            </w:r>
          </w:p>
          <w:p w14:paraId="1FBE8A9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五、事故防范和整改措施</w:t>
            </w:r>
          </w:p>
          <w:p w14:paraId="6BD6BA42"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磐希化工“3·22”一般爆炸事故发生后，造成了一定的社会影响，相关单位和部门要引起高度重视，深刻吸取此次事故的教训，杜绝类似事故再次发生。</w:t>
            </w:r>
          </w:p>
          <w:p w14:paraId="27B47129"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一）磐希化工，组织全员进行事故教育培训，认真吸取事故教训，切实提高员工对动火等危险作业风险程度的认识水平，落实相关规章制度、操作规程的执行。认真组织学习新颁布的《化学品生产单位特殊作业安全规范》（GB30871-2014），对照规范修订完善现有的操作规程，确保全员熟练了解掌握相关危险作业的安全规范，并认真执行，要敲响安全生产警钟，切实落实安全生产主体责任。</w:t>
            </w:r>
          </w:p>
          <w:p w14:paraId="5065FD0C"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(二）开发区管委会，要进一步加强辖区范围内危险化学品从业单位的安全监管工作，督促企业加强动火等危险作业现场管理，杜绝类似事故发生。</w:t>
            </w:r>
          </w:p>
          <w:p w14:paraId="73A99650" w14:textId="77777777" w:rsidR="00BA0C3B" w:rsidRPr="00BA0C3B" w:rsidRDefault="00BA0C3B" w:rsidP="00BA0C3B">
            <w:pPr>
              <w:widowControl/>
              <w:spacing w:before="100" w:beforeAutospacing="1" w:after="100" w:afterAutospacing="1" w:line="440" w:lineRule="atLeast"/>
              <w:ind w:firstLine="420"/>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江苏磐希化工有限公司“3·22”一般爆炸事故调查组</w:t>
            </w:r>
          </w:p>
          <w:p w14:paraId="4BF87CEA" w14:textId="77777777" w:rsidR="00BA0C3B" w:rsidRPr="00BA0C3B" w:rsidRDefault="00BA0C3B" w:rsidP="00BA0C3B">
            <w:pPr>
              <w:widowControl/>
              <w:spacing w:line="390" w:lineRule="atLeast"/>
              <w:jc w:val="left"/>
              <w:rPr>
                <w:rFonts w:ascii="&amp;quot" w:eastAsia="宋体" w:hAnsi="&amp;quot" w:cs="宋体"/>
                <w:color w:val="333333"/>
                <w:kern w:val="0"/>
                <w:szCs w:val="21"/>
              </w:rPr>
            </w:pPr>
            <w:r w:rsidRPr="00BA0C3B">
              <w:rPr>
                <w:rFonts w:ascii="宋体" w:eastAsia="宋体" w:hAnsi="宋体" w:cs="宋体" w:hint="eastAsia"/>
                <w:color w:val="000000"/>
                <w:kern w:val="0"/>
                <w:sz w:val="18"/>
                <w:szCs w:val="18"/>
              </w:rPr>
              <w:t>2015年5月5日</w:t>
            </w:r>
          </w:p>
        </w:tc>
      </w:tr>
    </w:tbl>
    <w:p w14:paraId="74FDDBA0" w14:textId="77777777" w:rsidR="000E529A" w:rsidRDefault="000E529A">
      <w:bookmarkStart w:id="0" w:name="_GoBack"/>
      <w:bookmarkEnd w:id="0"/>
    </w:p>
    <w:sectPr w:rsidR="000E5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BBF2B" w14:textId="77777777" w:rsidR="00BA0C3B" w:rsidRDefault="00BA0C3B" w:rsidP="00BA0C3B">
      <w:r>
        <w:separator/>
      </w:r>
    </w:p>
  </w:endnote>
  <w:endnote w:type="continuationSeparator" w:id="0">
    <w:p w14:paraId="545093ED" w14:textId="77777777" w:rsidR="00BA0C3B" w:rsidRDefault="00BA0C3B" w:rsidP="00BA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F252" w14:textId="77777777" w:rsidR="00BA0C3B" w:rsidRDefault="00BA0C3B" w:rsidP="00BA0C3B">
      <w:r>
        <w:separator/>
      </w:r>
    </w:p>
  </w:footnote>
  <w:footnote w:type="continuationSeparator" w:id="0">
    <w:p w14:paraId="523034D5" w14:textId="77777777" w:rsidR="00BA0C3B" w:rsidRDefault="00BA0C3B" w:rsidP="00BA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68"/>
    <w:rsid w:val="000E529A"/>
    <w:rsid w:val="00BA0C3B"/>
    <w:rsid w:val="00D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E7CD07-480C-4B1F-8C22-F5FF87D0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C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0C3B"/>
    <w:rPr>
      <w:sz w:val="18"/>
      <w:szCs w:val="18"/>
    </w:rPr>
  </w:style>
  <w:style w:type="paragraph" w:styleId="a5">
    <w:name w:val="footer"/>
    <w:basedOn w:val="a"/>
    <w:link w:val="a6"/>
    <w:uiPriority w:val="99"/>
    <w:unhideWhenUsed/>
    <w:rsid w:val="00BA0C3B"/>
    <w:pPr>
      <w:tabs>
        <w:tab w:val="center" w:pos="4153"/>
        <w:tab w:val="right" w:pos="8306"/>
      </w:tabs>
      <w:snapToGrid w:val="0"/>
      <w:jc w:val="left"/>
    </w:pPr>
    <w:rPr>
      <w:sz w:val="18"/>
      <w:szCs w:val="18"/>
    </w:rPr>
  </w:style>
  <w:style w:type="character" w:customStyle="1" w:styleId="a6">
    <w:name w:val="页脚 字符"/>
    <w:basedOn w:val="a0"/>
    <w:link w:val="a5"/>
    <w:uiPriority w:val="99"/>
    <w:rsid w:val="00BA0C3B"/>
    <w:rPr>
      <w:sz w:val="18"/>
      <w:szCs w:val="18"/>
    </w:rPr>
  </w:style>
  <w:style w:type="character" w:styleId="a7">
    <w:name w:val="Hyperlink"/>
    <w:basedOn w:val="a0"/>
    <w:uiPriority w:val="99"/>
    <w:semiHidden/>
    <w:unhideWhenUsed/>
    <w:rsid w:val="00BA0C3B"/>
    <w:rPr>
      <w:color w:val="0000FF"/>
      <w:u w:val="single"/>
    </w:rPr>
  </w:style>
  <w:style w:type="paragraph" w:styleId="a8">
    <w:name w:val="Normal (Web)"/>
    <w:basedOn w:val="a"/>
    <w:uiPriority w:val="99"/>
    <w:semiHidden/>
    <w:unhideWhenUsed/>
    <w:rsid w:val="00BA0C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95688">
      <w:bodyDiv w:val="1"/>
      <w:marLeft w:val="0"/>
      <w:marRight w:val="0"/>
      <w:marTop w:val="0"/>
      <w:marBottom w:val="0"/>
      <w:divBdr>
        <w:top w:val="none" w:sz="0" w:space="0" w:color="auto"/>
        <w:left w:val="none" w:sz="0" w:space="0" w:color="auto"/>
        <w:bottom w:val="none" w:sz="0" w:space="0" w:color="auto"/>
        <w:right w:val="none" w:sz="0" w:space="0" w:color="auto"/>
      </w:divBdr>
      <w:divsChild>
        <w:div w:id="163964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13" Type="http://schemas.openxmlformats.org/officeDocument/2006/relationships/image" Target="media/image3.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doZoom(14)" TargetMode="External"/><Relationship Id="rId12" Type="http://schemas.openxmlformats.org/officeDocument/2006/relationships/control" Target="activeX/activeX2.xm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2018-09-17T13:59:00Z</dcterms:created>
  <dcterms:modified xsi:type="dcterms:W3CDTF">2018-09-17T13:59:00Z</dcterms:modified>
</cp:coreProperties>
</file>