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CDE25" w14:textId="77777777" w:rsidR="00E31E6F" w:rsidRPr="00E31E6F" w:rsidRDefault="00E31E6F" w:rsidP="00E31E6F">
      <w:pPr>
        <w:jc w:val="center"/>
        <w:rPr>
          <w:sz w:val="40"/>
          <w:szCs w:val="44"/>
        </w:rPr>
      </w:pPr>
      <w:r w:rsidRPr="00E31E6F">
        <w:rPr>
          <w:rFonts w:hint="eastAsia"/>
          <w:b/>
          <w:bCs/>
          <w:sz w:val="40"/>
          <w:szCs w:val="44"/>
        </w:rPr>
        <w:t>四川能投化学新材料有限公司“2·27”</w:t>
      </w:r>
    </w:p>
    <w:p w14:paraId="7C630702" w14:textId="77777777" w:rsidR="00E31E6F" w:rsidRPr="00E31E6F" w:rsidRDefault="00E31E6F" w:rsidP="00E31E6F">
      <w:pPr>
        <w:jc w:val="center"/>
        <w:rPr>
          <w:rFonts w:hint="eastAsia"/>
          <w:sz w:val="40"/>
          <w:szCs w:val="44"/>
        </w:rPr>
      </w:pPr>
      <w:r w:rsidRPr="00E31E6F">
        <w:rPr>
          <w:rFonts w:hint="eastAsia"/>
          <w:b/>
          <w:bCs/>
          <w:sz w:val="40"/>
          <w:szCs w:val="44"/>
        </w:rPr>
        <w:t>一般灼烫事故调查报告</w:t>
      </w:r>
    </w:p>
    <w:p w14:paraId="7E10C232" w14:textId="1D534B58" w:rsidR="00E31E6F" w:rsidRDefault="00345D4E" w:rsidP="00E31E6F">
      <w:pPr>
        <w:rPr>
          <w:sz w:val="24"/>
          <w:szCs w:val="28"/>
        </w:rPr>
      </w:pPr>
      <w:hyperlink r:id="rId6" w:history="1">
        <w:r w:rsidRPr="00345D4E">
          <w:rPr>
            <w:rStyle w:val="af2"/>
            <w:sz w:val="24"/>
            <w:szCs w:val="28"/>
          </w:rPr>
          <w:t>四川能投化学新材料有限公司“2·27” 一般灼烫事故调查报告-南充市应急管理局</w:t>
        </w:r>
      </w:hyperlink>
    </w:p>
    <w:p w14:paraId="39AF3347" w14:textId="77777777" w:rsidR="00345D4E" w:rsidRPr="00E31E6F" w:rsidRDefault="00345D4E" w:rsidP="00E31E6F">
      <w:pPr>
        <w:rPr>
          <w:rFonts w:hint="eastAsia"/>
          <w:sz w:val="24"/>
          <w:szCs w:val="28"/>
        </w:rPr>
      </w:pPr>
    </w:p>
    <w:p w14:paraId="63F6FCB6" w14:textId="77777777" w:rsidR="00E31E6F" w:rsidRPr="00E31E6F" w:rsidRDefault="00E31E6F" w:rsidP="00E31E6F">
      <w:pPr>
        <w:rPr>
          <w:rFonts w:hint="eastAsia"/>
          <w:sz w:val="24"/>
          <w:szCs w:val="28"/>
        </w:rPr>
      </w:pPr>
      <w:r w:rsidRPr="00E31E6F">
        <w:rPr>
          <w:rFonts w:hint="eastAsia"/>
          <w:sz w:val="24"/>
          <w:szCs w:val="28"/>
        </w:rPr>
        <w:t>2024年2月27日14时24分，南充经济开发区四川能投化学新材料有限公司发生一起灼烫事故，造成1人重伤、1人轻伤，直接经济损失65万元。</w:t>
      </w:r>
    </w:p>
    <w:p w14:paraId="1549B866" w14:textId="77777777" w:rsidR="00E31E6F" w:rsidRPr="00E31E6F" w:rsidRDefault="00E31E6F" w:rsidP="00E31E6F">
      <w:pPr>
        <w:rPr>
          <w:rFonts w:hint="eastAsia"/>
          <w:sz w:val="24"/>
          <w:szCs w:val="28"/>
        </w:rPr>
      </w:pPr>
      <w:r w:rsidRPr="00E31E6F">
        <w:rPr>
          <w:rFonts w:hint="eastAsia"/>
          <w:sz w:val="24"/>
          <w:szCs w:val="28"/>
        </w:rPr>
        <w:t>事故发生后，四川省应急管理厅高度重视，指派工作组赶赴现场指导事故救援工作，要求积极抢救伤员，尽快查明事故原因，依法依规严肃追责问责。依据《中华人民共和国安全生产法》《生产安全事故报告和调查处理条例》（国务院令第 493 号）和《四川省生产安全事故报告和调查处理规定》（省政府令第 225 号）等法律法规规定，经市政府批准，成立了市应急管理局、市公安局、市总工会、南充经济开发区管委会有关负责同志参加的四川能投化学新材料有限公司“2·27”一般灼烫事故调查组（以下简称事故调查组），全面开展事故调查。同时聘请有关专家参与现场勘查和技术分析，并邀请市纪委监委派员参加。</w:t>
      </w:r>
    </w:p>
    <w:p w14:paraId="4833D235" w14:textId="77777777" w:rsidR="00E31E6F" w:rsidRPr="00E31E6F" w:rsidRDefault="00E31E6F" w:rsidP="00E31E6F">
      <w:pPr>
        <w:rPr>
          <w:rFonts w:hint="eastAsia"/>
          <w:sz w:val="24"/>
          <w:szCs w:val="28"/>
        </w:rPr>
      </w:pPr>
      <w:r w:rsidRPr="00E31E6F">
        <w:rPr>
          <w:rFonts w:hint="eastAsia"/>
          <w:sz w:val="24"/>
          <w:szCs w:val="28"/>
        </w:rPr>
        <w:t>事故调查组按照“四不放过”和“科学严谨、依法依规、实事求是、注重实效”的原则，通过现场勘查、资料查阅、调查取证、专家论证等方法，查明了事故发生经过、原因，认定了事故性质和责任，提出了对有关责任人员和责任单位的处理建议，并针对事故原因和暴露的问题，提出了整改和防范措施建议。</w:t>
      </w:r>
    </w:p>
    <w:p w14:paraId="07141B17" w14:textId="77777777" w:rsidR="00E31E6F" w:rsidRPr="00E31E6F" w:rsidRDefault="00E31E6F" w:rsidP="00E31E6F">
      <w:pPr>
        <w:rPr>
          <w:rFonts w:hint="eastAsia"/>
          <w:sz w:val="24"/>
          <w:szCs w:val="28"/>
        </w:rPr>
      </w:pPr>
      <w:r w:rsidRPr="00E31E6F">
        <w:rPr>
          <w:rFonts w:hint="eastAsia"/>
          <w:sz w:val="24"/>
          <w:szCs w:val="28"/>
        </w:rPr>
        <w:t>经调查认定，四川能投化学新材料有限公司“2·27”一般灼烫事故是一起</w:t>
      </w:r>
      <w:r w:rsidRPr="00E31E6F">
        <w:rPr>
          <w:rFonts w:hint="eastAsia"/>
          <w:b/>
          <w:bCs/>
          <w:sz w:val="24"/>
          <w:szCs w:val="28"/>
        </w:rPr>
        <w:t>因作业人员未使用高温劳动防护用品，冒险对焚烧装置二燃室下料口堵塞高温异物进行清除作业，相关单位安全风险辨识不足、事故隐患排查不细、作业现场管理缺失，且岗位安全管理制度和操作规程不健全</w:t>
      </w:r>
      <w:r w:rsidRPr="00E31E6F">
        <w:rPr>
          <w:rFonts w:hint="eastAsia"/>
          <w:sz w:val="24"/>
          <w:szCs w:val="28"/>
        </w:rPr>
        <w:t>而造成的生产安全责任事故。</w:t>
      </w:r>
    </w:p>
    <w:p w14:paraId="2960010C" w14:textId="77777777" w:rsidR="00E31E6F" w:rsidRPr="00E31E6F" w:rsidRDefault="00E31E6F" w:rsidP="00E31E6F">
      <w:pPr>
        <w:rPr>
          <w:rFonts w:hint="eastAsia"/>
          <w:sz w:val="24"/>
          <w:szCs w:val="28"/>
        </w:rPr>
      </w:pPr>
      <w:r w:rsidRPr="00E31E6F">
        <w:rPr>
          <w:rFonts w:hint="eastAsia"/>
          <w:b/>
          <w:bCs/>
          <w:sz w:val="24"/>
          <w:szCs w:val="28"/>
        </w:rPr>
        <w:lastRenderedPageBreak/>
        <w:t>一、基本情况</w:t>
      </w:r>
    </w:p>
    <w:p w14:paraId="6314EBF8" w14:textId="77777777" w:rsidR="00E31E6F" w:rsidRPr="00E31E6F" w:rsidRDefault="00E31E6F" w:rsidP="00E31E6F">
      <w:pPr>
        <w:rPr>
          <w:rFonts w:hint="eastAsia"/>
          <w:sz w:val="24"/>
          <w:szCs w:val="28"/>
        </w:rPr>
      </w:pPr>
      <w:r w:rsidRPr="00E31E6F">
        <w:rPr>
          <w:rFonts w:hint="eastAsia"/>
          <w:b/>
          <w:bCs/>
          <w:sz w:val="24"/>
          <w:szCs w:val="28"/>
        </w:rPr>
        <w:t>（一）事故发生单位情况</w:t>
      </w:r>
    </w:p>
    <w:p w14:paraId="34AD754B" w14:textId="77777777" w:rsidR="00E31E6F" w:rsidRPr="00E31E6F" w:rsidRDefault="00E31E6F" w:rsidP="00E31E6F">
      <w:pPr>
        <w:rPr>
          <w:rFonts w:hint="eastAsia"/>
          <w:sz w:val="24"/>
          <w:szCs w:val="28"/>
        </w:rPr>
      </w:pPr>
      <w:r w:rsidRPr="00E31E6F">
        <w:rPr>
          <w:rFonts w:hint="eastAsia"/>
          <w:sz w:val="24"/>
          <w:szCs w:val="28"/>
        </w:rPr>
        <w:t>四川能投化学新材料有限公司（以下简称能投化学公司），成立于2018年9月27日，统一社会信用代码：91511300MA68</w:t>
      </w:r>
    </w:p>
    <w:p w14:paraId="7D797CCF" w14:textId="77777777" w:rsidR="00E31E6F" w:rsidRPr="00E31E6F" w:rsidRDefault="00E31E6F" w:rsidP="00E31E6F">
      <w:pPr>
        <w:rPr>
          <w:rFonts w:hint="eastAsia"/>
          <w:sz w:val="24"/>
          <w:szCs w:val="28"/>
        </w:rPr>
      </w:pPr>
      <w:r w:rsidRPr="00E31E6F">
        <w:rPr>
          <w:rFonts w:hint="eastAsia"/>
          <w:sz w:val="24"/>
          <w:szCs w:val="28"/>
        </w:rPr>
        <w:t>T95Y8G，法定代表人：杨超，类型：其他有限责任公司，住所：南充市嘉陵区河西工业园区东西干道1号，经营范围：许可项目有危险化学品经营、道路货物运输（不含危险货物），一般项目有基础化学原料制造（不含危险化学品等许可类化学品的制造）、专用化学产品制造（不含危险化学品）、化工产品销售（不含许可类化工产品）等。《危险化学品经营许可证》编号：川南危化经字〔2021〕000238号，许可经营范围：带储存经营对二甲苯、甲醇、次氯酸钠、硫酸、氯酸钠、溴素、氢氧化钠、醋酸正丙酯、盐酸、醋酸、氨水，经营方式：批发，有效期至2024年12月18日。《安全生产许可证》编号：（川R）WH安许证字〔2021〕0005号，许可范围：氢，有效期至2024年8月19日。</w:t>
      </w:r>
    </w:p>
    <w:p w14:paraId="38B604BD" w14:textId="77777777" w:rsidR="00E31E6F" w:rsidRPr="00E31E6F" w:rsidRDefault="00E31E6F" w:rsidP="00E31E6F">
      <w:pPr>
        <w:rPr>
          <w:rFonts w:hint="eastAsia"/>
          <w:sz w:val="24"/>
          <w:szCs w:val="28"/>
        </w:rPr>
      </w:pPr>
      <w:r w:rsidRPr="00E31E6F">
        <w:rPr>
          <w:rFonts w:hint="eastAsia"/>
          <w:b/>
          <w:bCs/>
          <w:sz w:val="24"/>
          <w:szCs w:val="28"/>
        </w:rPr>
        <w:t>（二）事故相关单位情况</w:t>
      </w:r>
    </w:p>
    <w:p w14:paraId="39E0A419" w14:textId="77777777" w:rsidR="00E31E6F" w:rsidRPr="00E31E6F" w:rsidRDefault="00E31E6F" w:rsidP="00E31E6F">
      <w:pPr>
        <w:rPr>
          <w:rFonts w:hint="eastAsia"/>
          <w:sz w:val="24"/>
          <w:szCs w:val="28"/>
        </w:rPr>
      </w:pPr>
      <w:r w:rsidRPr="00E31E6F">
        <w:rPr>
          <w:rFonts w:hint="eastAsia"/>
          <w:sz w:val="24"/>
          <w:szCs w:val="28"/>
        </w:rPr>
        <w:t>四川力庆仓储有限公司（以下简称力庆仓储公司），成立于2004年11月18日，统一社会信用代码：915101127686114666，法定代表人：王子博，类型：其他有限责任公司，住所：成都市龙泉驿区洪安镇龙洪路9号，经营范围：一般项目有普通货物仓储服务（不含危险化学品等需许可审批的项目）、装卸搬运、包装服务、污水处理及其再生利用等，许可项目有危险化学品经营、移动式压力容器/气瓶充装、道路货物运输（不含危险货物）、劳务派遣服务等。</w:t>
      </w:r>
    </w:p>
    <w:p w14:paraId="7A0419F6" w14:textId="77777777" w:rsidR="00E31E6F" w:rsidRPr="00E31E6F" w:rsidRDefault="00E31E6F" w:rsidP="00E31E6F">
      <w:pPr>
        <w:rPr>
          <w:rFonts w:hint="eastAsia"/>
          <w:sz w:val="24"/>
          <w:szCs w:val="28"/>
        </w:rPr>
      </w:pPr>
      <w:r w:rsidRPr="00E31E6F">
        <w:rPr>
          <w:rFonts w:hint="eastAsia"/>
          <w:b/>
          <w:bCs/>
          <w:sz w:val="24"/>
          <w:szCs w:val="28"/>
        </w:rPr>
        <w:t>（三）事故装置（焚烧装置）相关情况</w:t>
      </w:r>
    </w:p>
    <w:p w14:paraId="0A64EC21" w14:textId="77777777" w:rsidR="00E31E6F" w:rsidRPr="00E31E6F" w:rsidRDefault="00E31E6F" w:rsidP="00E31E6F">
      <w:pPr>
        <w:rPr>
          <w:rFonts w:hint="eastAsia"/>
          <w:sz w:val="24"/>
          <w:szCs w:val="28"/>
        </w:rPr>
      </w:pPr>
      <w:r w:rsidRPr="00E31E6F">
        <w:rPr>
          <w:rFonts w:hint="eastAsia"/>
          <w:sz w:val="24"/>
          <w:szCs w:val="28"/>
        </w:rPr>
        <w:t>1.事故装置为一污泥焚烧装置，包括有机湿污泥干化和有机干污泥焚烧两个主要</w:t>
      </w:r>
      <w:r w:rsidRPr="00E31E6F">
        <w:rPr>
          <w:rFonts w:hint="eastAsia"/>
          <w:sz w:val="24"/>
          <w:szCs w:val="28"/>
        </w:rPr>
        <w:lastRenderedPageBreak/>
        <w:t>工序，2014年建成，2019年投产使用。</w:t>
      </w:r>
    </w:p>
    <w:p w14:paraId="5CC367E8" w14:textId="77777777" w:rsidR="00E31E6F" w:rsidRPr="00E31E6F" w:rsidRDefault="00E31E6F" w:rsidP="00E31E6F">
      <w:pPr>
        <w:rPr>
          <w:rFonts w:hint="eastAsia"/>
          <w:sz w:val="24"/>
          <w:szCs w:val="28"/>
        </w:rPr>
      </w:pPr>
      <w:r w:rsidRPr="00E31E6F">
        <w:rPr>
          <w:rFonts w:hint="eastAsia"/>
          <w:sz w:val="24"/>
          <w:szCs w:val="28"/>
        </w:rPr>
        <w:t>2.干化工序设计处理能力为25吨/天含水80%的湿污泥，产生6.1吨/天含水为18%的干污泥。湿污泥经污泥输送泵进入桨叶干燥机，与桨叶干燥机热轴和夹套的蒸汽进行间接换热，含水率逐渐降低，并在桨叶轴的旋转作用下向出料端移动，干污泥由出料口经旋转阀排出。含有少量粉尘的尾气经洗涤塔洗涤后由引风机排空（见图1）。</w:t>
      </w:r>
    </w:p>
    <w:p w14:paraId="4F7618C8" w14:textId="143DD820" w:rsidR="00E31E6F" w:rsidRPr="00E31E6F" w:rsidRDefault="00E31E6F" w:rsidP="00E31E6F">
      <w:pPr>
        <w:rPr>
          <w:rFonts w:hint="eastAsia"/>
          <w:sz w:val="24"/>
          <w:szCs w:val="28"/>
        </w:rPr>
      </w:pPr>
      <w:r w:rsidRPr="00E31E6F">
        <w:rPr>
          <w:rFonts w:hint="eastAsia"/>
          <w:sz w:val="24"/>
          <w:szCs w:val="28"/>
        </w:rPr>
        <w:drawing>
          <wp:anchor distT="0" distB="0" distL="114300" distR="114300" simplePos="0" relativeHeight="251659264" behindDoc="0" locked="0" layoutInCell="1" allowOverlap="0" wp14:anchorId="359AE3C5" wp14:editId="7EF19068">
            <wp:simplePos x="0" y="0"/>
            <wp:positionH relativeFrom="column">
              <wp:align>left</wp:align>
            </wp:positionH>
            <wp:positionV relativeFrom="line">
              <wp:posOffset>0</wp:posOffset>
            </wp:positionV>
            <wp:extent cx="4848225" cy="2819400"/>
            <wp:effectExtent l="0" t="0" r="9525" b="0"/>
            <wp:wrapSquare wrapText="bothSides"/>
            <wp:docPr id="21143768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822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E6F">
        <w:rPr>
          <w:rFonts w:hint="eastAsia"/>
          <w:sz w:val="24"/>
          <w:szCs w:val="28"/>
        </w:rPr>
        <w:br/>
      </w:r>
    </w:p>
    <w:p w14:paraId="00A180E9" w14:textId="77777777" w:rsidR="00E31E6F" w:rsidRPr="00E31E6F" w:rsidRDefault="00E31E6F" w:rsidP="00E31E6F">
      <w:pPr>
        <w:rPr>
          <w:rFonts w:hint="eastAsia"/>
          <w:sz w:val="24"/>
          <w:szCs w:val="28"/>
        </w:rPr>
      </w:pPr>
      <w:r w:rsidRPr="00E31E6F">
        <w:rPr>
          <w:rFonts w:hint="eastAsia"/>
          <w:b/>
          <w:bCs/>
          <w:sz w:val="24"/>
          <w:szCs w:val="28"/>
        </w:rPr>
        <w:t>图1 湿污泥干化工艺流程</w:t>
      </w:r>
    </w:p>
    <w:p w14:paraId="4EDB0C5D" w14:textId="77777777" w:rsidR="00E31E6F" w:rsidRPr="00E31E6F" w:rsidRDefault="00E31E6F" w:rsidP="00E31E6F">
      <w:pPr>
        <w:rPr>
          <w:rFonts w:hint="eastAsia"/>
          <w:sz w:val="24"/>
          <w:szCs w:val="28"/>
        </w:rPr>
      </w:pPr>
      <w:r w:rsidRPr="00E31E6F">
        <w:rPr>
          <w:rFonts w:hint="eastAsia"/>
          <w:sz w:val="24"/>
          <w:szCs w:val="28"/>
        </w:rPr>
        <w:t>3.焚烧工序设计处理能力为12吨/天的干污泥，产生1.92吨/天的残渣。干化后的污泥，经干污泥料仓由链板输送机输送至回转窑，通过窑体的缓慢转动，使物料不停地翻动并滑向尾部，完成烘干、挥发可燃气体、主燃、燃烬、排渣等全过程 ，灰渣自窑尾落入二燃室底部渣斗，由出渣系统连续排出约600℃炉渣进入湿式刮板捞渣输送机，经水冷却后约100℃排出。</w:t>
      </w:r>
    </w:p>
    <w:p w14:paraId="44761B96" w14:textId="77777777" w:rsidR="00E31E6F" w:rsidRPr="00E31E6F" w:rsidRDefault="00E31E6F" w:rsidP="00E31E6F">
      <w:pPr>
        <w:rPr>
          <w:rFonts w:hint="eastAsia"/>
          <w:sz w:val="24"/>
          <w:szCs w:val="28"/>
        </w:rPr>
      </w:pPr>
      <w:r w:rsidRPr="00E31E6F">
        <w:rPr>
          <w:rFonts w:hint="eastAsia"/>
          <w:sz w:val="24"/>
          <w:szCs w:val="28"/>
        </w:rPr>
        <w:t>4.少量未燃尽的有机气体及二噁英成分进入二燃室完全焚烧，尾气经立式膜式壁锅炉、半干急冷除酸塔、干式除酸吸收装置、布袋除尘器，达标后排空（见图2）。</w:t>
      </w:r>
    </w:p>
    <w:p w14:paraId="020D1998" w14:textId="590629D5" w:rsidR="00E31E6F" w:rsidRPr="00E31E6F" w:rsidRDefault="00E31E6F" w:rsidP="00E31E6F">
      <w:pPr>
        <w:rPr>
          <w:rFonts w:hint="eastAsia"/>
          <w:sz w:val="24"/>
          <w:szCs w:val="28"/>
        </w:rPr>
      </w:pPr>
      <w:r w:rsidRPr="00E31E6F">
        <w:rPr>
          <w:rFonts w:hint="eastAsia"/>
          <w:b/>
          <w:bCs/>
          <w:sz w:val="24"/>
          <w:szCs w:val="28"/>
        </w:rPr>
        <w:lastRenderedPageBreak/>
        <w:t>图</w:t>
      </w:r>
      <w:r w:rsidRPr="00E31E6F">
        <w:rPr>
          <w:rFonts w:hint="eastAsia"/>
          <w:sz w:val="24"/>
          <w:szCs w:val="28"/>
        </w:rPr>
        <w:drawing>
          <wp:anchor distT="0" distB="0" distL="114300" distR="114300" simplePos="0" relativeHeight="251660288" behindDoc="0" locked="0" layoutInCell="1" allowOverlap="0" wp14:anchorId="1220C9AC" wp14:editId="05C7B20C">
            <wp:simplePos x="0" y="0"/>
            <wp:positionH relativeFrom="column">
              <wp:align>left</wp:align>
            </wp:positionH>
            <wp:positionV relativeFrom="line">
              <wp:posOffset>0</wp:posOffset>
            </wp:positionV>
            <wp:extent cx="4895850" cy="4286250"/>
            <wp:effectExtent l="0" t="0" r="0" b="0"/>
            <wp:wrapSquare wrapText="bothSides"/>
            <wp:docPr id="379863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5850" cy="428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E6F">
        <w:rPr>
          <w:rFonts w:hint="eastAsia"/>
          <w:sz w:val="24"/>
          <w:szCs w:val="28"/>
        </w:rPr>
        <w:br/>
      </w:r>
      <w:r w:rsidRPr="00E31E6F">
        <w:rPr>
          <w:rFonts w:hint="eastAsia"/>
          <w:b/>
          <w:bCs/>
          <w:sz w:val="24"/>
          <w:szCs w:val="28"/>
        </w:rPr>
        <w:t>2 干污泥焚烧工艺流程</w:t>
      </w:r>
    </w:p>
    <w:p w14:paraId="4B9B965D" w14:textId="77777777" w:rsidR="00E31E6F" w:rsidRPr="00E31E6F" w:rsidRDefault="00E31E6F" w:rsidP="00E31E6F">
      <w:pPr>
        <w:rPr>
          <w:rFonts w:hint="eastAsia"/>
          <w:sz w:val="24"/>
          <w:szCs w:val="28"/>
        </w:rPr>
      </w:pPr>
      <w:r w:rsidRPr="00E31E6F">
        <w:rPr>
          <w:rFonts w:hint="eastAsia"/>
          <w:b/>
          <w:bCs/>
          <w:sz w:val="24"/>
          <w:szCs w:val="28"/>
        </w:rPr>
        <w:t>二、事故发生经过和应急处置情况</w:t>
      </w:r>
    </w:p>
    <w:p w14:paraId="2AE445D4" w14:textId="77777777" w:rsidR="00E31E6F" w:rsidRPr="00E31E6F" w:rsidRDefault="00E31E6F" w:rsidP="00E31E6F">
      <w:pPr>
        <w:rPr>
          <w:rFonts w:hint="eastAsia"/>
          <w:sz w:val="24"/>
          <w:szCs w:val="28"/>
        </w:rPr>
      </w:pPr>
      <w:r w:rsidRPr="00E31E6F">
        <w:rPr>
          <w:rFonts w:hint="eastAsia"/>
          <w:b/>
          <w:bCs/>
          <w:sz w:val="24"/>
          <w:szCs w:val="28"/>
        </w:rPr>
        <w:t>（一）事故发生经过</w:t>
      </w:r>
    </w:p>
    <w:p w14:paraId="1257B0E8" w14:textId="77777777" w:rsidR="00E31E6F" w:rsidRPr="00E31E6F" w:rsidRDefault="00E31E6F" w:rsidP="00E31E6F">
      <w:pPr>
        <w:rPr>
          <w:rFonts w:hint="eastAsia"/>
          <w:sz w:val="24"/>
          <w:szCs w:val="28"/>
        </w:rPr>
      </w:pPr>
      <w:r w:rsidRPr="00E31E6F">
        <w:rPr>
          <w:rFonts w:hint="eastAsia"/>
          <w:sz w:val="24"/>
          <w:szCs w:val="28"/>
        </w:rPr>
        <w:t>2月27日14时24分许，焚烧装置操作人员肖清巡检发现焚烧装置二燃室下料口被异物堵塞，肖清安排黄学林用钢钎对二燃室下料口进行清堵，但未成功。</w:t>
      </w:r>
    </w:p>
    <w:p w14:paraId="492A746B" w14:textId="77777777" w:rsidR="00E31E6F" w:rsidRPr="00E31E6F" w:rsidRDefault="00E31E6F" w:rsidP="00E31E6F">
      <w:pPr>
        <w:rPr>
          <w:rFonts w:hint="eastAsia"/>
          <w:sz w:val="24"/>
          <w:szCs w:val="28"/>
        </w:rPr>
      </w:pPr>
      <w:r w:rsidRPr="00E31E6F">
        <w:rPr>
          <w:rFonts w:hint="eastAsia"/>
          <w:sz w:val="24"/>
          <w:szCs w:val="28"/>
        </w:rPr>
        <w:t>14时49分许，由班长陈俊进行清堵工作（见图3），黄学林配合，陈朝忠为其照明。</w:t>
      </w:r>
    </w:p>
    <w:p w14:paraId="7CC1194A" w14:textId="77777777" w:rsidR="00E31E6F" w:rsidRPr="00E31E6F" w:rsidRDefault="00E31E6F" w:rsidP="00E31E6F">
      <w:pPr>
        <w:rPr>
          <w:rFonts w:hint="eastAsia"/>
          <w:sz w:val="24"/>
          <w:szCs w:val="28"/>
        </w:rPr>
      </w:pPr>
      <w:r w:rsidRPr="00E31E6F">
        <w:rPr>
          <w:rFonts w:hint="eastAsia"/>
          <w:sz w:val="24"/>
          <w:szCs w:val="28"/>
        </w:rPr>
        <w:t>14时57分许，在清堵过程中高温异物从下料口掉入水封刮板内，与冷却水接触后急剧汽化，产生的高温蒸汽及热水从湿式刮板捞渣输送机盖板处喷出（见图4），同时系统返正压，含粉尘的高温烟气一并喷出，造成陈朝忠、黄学林烫伤及呼吸性损伤。</w:t>
      </w:r>
    </w:p>
    <w:p w14:paraId="16F425B8" w14:textId="77777777" w:rsidR="00E31E6F" w:rsidRPr="00E31E6F" w:rsidRDefault="00E31E6F" w:rsidP="00E31E6F">
      <w:pPr>
        <w:rPr>
          <w:rFonts w:hint="eastAsia"/>
          <w:sz w:val="24"/>
          <w:szCs w:val="28"/>
        </w:rPr>
      </w:pPr>
      <w:r w:rsidRPr="00E31E6F">
        <w:rPr>
          <w:rFonts w:hint="eastAsia"/>
          <w:b/>
          <w:bCs/>
          <w:sz w:val="24"/>
          <w:szCs w:val="28"/>
        </w:rPr>
        <w:lastRenderedPageBreak/>
        <w:t>（二）应急处置情况</w:t>
      </w:r>
    </w:p>
    <w:p w14:paraId="2F57C4CF" w14:textId="77777777" w:rsidR="00E31E6F" w:rsidRPr="00E31E6F" w:rsidRDefault="00E31E6F" w:rsidP="00E31E6F">
      <w:pPr>
        <w:rPr>
          <w:rFonts w:hint="eastAsia"/>
          <w:sz w:val="24"/>
          <w:szCs w:val="28"/>
        </w:rPr>
      </w:pPr>
      <w:r w:rsidRPr="00E31E6F">
        <w:rPr>
          <w:rFonts w:hint="eastAsia"/>
          <w:sz w:val="24"/>
          <w:szCs w:val="28"/>
        </w:rPr>
        <w:t>能投化学公司接到作业人员受伤情况报告后，立即拨打120急救电话。15时30分许，120救护车到达事故现场，立即将伤员接送到南充市中心医院救治。经调查评估，此次事故的应急处置得当，受伤人员得到及时救治，没有造成更大损失。</w:t>
      </w:r>
    </w:p>
    <w:tbl>
      <w:tblPr>
        <w:tblW w:w="8385" w:type="dxa"/>
        <w:tblCellMar>
          <w:top w:w="84" w:type="dxa"/>
          <w:left w:w="84" w:type="dxa"/>
          <w:bottom w:w="84" w:type="dxa"/>
          <w:right w:w="84" w:type="dxa"/>
        </w:tblCellMar>
        <w:tblLook w:val="04A0" w:firstRow="1" w:lastRow="0" w:firstColumn="1" w:lastColumn="0" w:noHBand="0" w:noVBand="1"/>
      </w:tblPr>
      <w:tblGrid>
        <w:gridCol w:w="4170"/>
        <w:gridCol w:w="4590"/>
      </w:tblGrid>
      <w:tr w:rsidR="00E31E6F" w:rsidRPr="00E31E6F" w14:paraId="0C5A44B4" w14:textId="77777777" w:rsidTr="00E31E6F">
        <w:trPr>
          <w:trHeight w:val="2520"/>
        </w:trPr>
        <w:tc>
          <w:tcPr>
            <w:tcW w:w="4050" w:type="dxa"/>
            <w:tcBorders>
              <w:top w:val="nil"/>
              <w:left w:val="nil"/>
              <w:bottom w:val="nil"/>
              <w:right w:val="nil"/>
            </w:tcBorders>
            <w:tcMar>
              <w:top w:w="75" w:type="dxa"/>
              <w:left w:w="75" w:type="dxa"/>
              <w:bottom w:w="75" w:type="dxa"/>
              <w:right w:w="75" w:type="dxa"/>
            </w:tcMar>
            <w:hideMark/>
          </w:tcPr>
          <w:p w14:paraId="5525FF2E" w14:textId="399C3295" w:rsidR="00E31E6F" w:rsidRPr="00E31E6F" w:rsidRDefault="00E31E6F" w:rsidP="00E31E6F">
            <w:pPr>
              <w:rPr>
                <w:rFonts w:hint="eastAsia"/>
                <w:sz w:val="24"/>
                <w:szCs w:val="28"/>
              </w:rPr>
            </w:pPr>
            <w:r w:rsidRPr="00E31E6F">
              <w:rPr>
                <w:rFonts w:hint="eastAsia"/>
                <w:sz w:val="24"/>
                <w:szCs w:val="28"/>
              </w:rPr>
              <w:drawing>
                <wp:inline distT="0" distB="0" distL="0" distR="0" wp14:anchorId="14BD5B1F" wp14:editId="75B614EA">
                  <wp:extent cx="2545080" cy="1981200"/>
                  <wp:effectExtent l="0" t="0" r="7620" b="0"/>
                  <wp:docPr id="18440170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5080" cy="1981200"/>
                          </a:xfrm>
                          <a:prstGeom prst="rect">
                            <a:avLst/>
                          </a:prstGeom>
                          <a:noFill/>
                          <a:ln>
                            <a:noFill/>
                          </a:ln>
                        </pic:spPr>
                      </pic:pic>
                    </a:graphicData>
                  </a:graphic>
                </wp:inline>
              </w:drawing>
            </w:r>
          </w:p>
        </w:tc>
        <w:tc>
          <w:tcPr>
            <w:tcW w:w="3915" w:type="dxa"/>
            <w:tcBorders>
              <w:top w:val="nil"/>
              <w:left w:val="nil"/>
              <w:bottom w:val="nil"/>
              <w:right w:val="nil"/>
            </w:tcBorders>
            <w:tcMar>
              <w:top w:w="75" w:type="dxa"/>
              <w:left w:w="75" w:type="dxa"/>
              <w:bottom w:w="75" w:type="dxa"/>
              <w:right w:w="75" w:type="dxa"/>
            </w:tcMar>
            <w:hideMark/>
          </w:tcPr>
          <w:p w14:paraId="2DBB7A94" w14:textId="5075A8AF" w:rsidR="00E31E6F" w:rsidRPr="00E31E6F" w:rsidRDefault="00E31E6F" w:rsidP="00E31E6F">
            <w:pPr>
              <w:rPr>
                <w:sz w:val="24"/>
                <w:szCs w:val="28"/>
              </w:rPr>
            </w:pPr>
            <w:r w:rsidRPr="00E31E6F">
              <w:rPr>
                <w:rFonts w:hint="eastAsia"/>
                <w:sz w:val="24"/>
                <w:szCs w:val="28"/>
              </w:rPr>
              <w:drawing>
                <wp:inline distT="0" distB="0" distL="0" distR="0" wp14:anchorId="3F5D6929" wp14:editId="08E83CEB">
                  <wp:extent cx="2819400" cy="1973580"/>
                  <wp:effectExtent l="0" t="0" r="0" b="7620"/>
                  <wp:docPr id="1159407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1973580"/>
                          </a:xfrm>
                          <a:prstGeom prst="rect">
                            <a:avLst/>
                          </a:prstGeom>
                          <a:noFill/>
                          <a:ln>
                            <a:noFill/>
                          </a:ln>
                        </pic:spPr>
                      </pic:pic>
                    </a:graphicData>
                  </a:graphic>
                </wp:inline>
              </w:drawing>
            </w:r>
          </w:p>
        </w:tc>
      </w:tr>
      <w:tr w:rsidR="00E31E6F" w:rsidRPr="00E31E6F" w14:paraId="3087AB35" w14:textId="77777777" w:rsidTr="00E31E6F">
        <w:trPr>
          <w:trHeight w:val="216"/>
        </w:trPr>
        <w:tc>
          <w:tcPr>
            <w:tcW w:w="4050" w:type="dxa"/>
            <w:tcBorders>
              <w:top w:val="nil"/>
              <w:left w:val="nil"/>
              <w:bottom w:val="nil"/>
              <w:right w:val="nil"/>
            </w:tcBorders>
            <w:tcMar>
              <w:top w:w="75" w:type="dxa"/>
              <w:left w:w="75" w:type="dxa"/>
              <w:bottom w:w="75" w:type="dxa"/>
              <w:right w:w="75" w:type="dxa"/>
            </w:tcMar>
            <w:vAlign w:val="center"/>
            <w:hideMark/>
          </w:tcPr>
          <w:p w14:paraId="7E0A650F" w14:textId="77777777" w:rsidR="00E31E6F" w:rsidRPr="00E31E6F" w:rsidRDefault="00E31E6F" w:rsidP="00E31E6F">
            <w:pPr>
              <w:rPr>
                <w:sz w:val="24"/>
                <w:szCs w:val="28"/>
              </w:rPr>
            </w:pPr>
            <w:r w:rsidRPr="00E31E6F">
              <w:rPr>
                <w:rFonts w:hint="eastAsia"/>
                <w:b/>
                <w:bCs/>
                <w:sz w:val="24"/>
                <w:szCs w:val="28"/>
              </w:rPr>
              <w:t>图3清堵作业示意图</w:t>
            </w:r>
          </w:p>
        </w:tc>
        <w:tc>
          <w:tcPr>
            <w:tcW w:w="3915" w:type="dxa"/>
            <w:tcBorders>
              <w:top w:val="nil"/>
              <w:left w:val="nil"/>
              <w:bottom w:val="nil"/>
              <w:right w:val="nil"/>
            </w:tcBorders>
            <w:tcMar>
              <w:top w:w="75" w:type="dxa"/>
              <w:left w:w="75" w:type="dxa"/>
              <w:bottom w:w="75" w:type="dxa"/>
              <w:right w:w="75" w:type="dxa"/>
            </w:tcMar>
            <w:vAlign w:val="center"/>
            <w:hideMark/>
          </w:tcPr>
          <w:p w14:paraId="6FD3EF13" w14:textId="77777777" w:rsidR="00E31E6F" w:rsidRPr="00E31E6F" w:rsidRDefault="00E31E6F" w:rsidP="00E31E6F">
            <w:pPr>
              <w:rPr>
                <w:sz w:val="24"/>
                <w:szCs w:val="28"/>
              </w:rPr>
            </w:pPr>
            <w:r w:rsidRPr="00E31E6F">
              <w:rPr>
                <w:rFonts w:hint="eastAsia"/>
                <w:b/>
                <w:bCs/>
                <w:sz w:val="24"/>
                <w:szCs w:val="28"/>
              </w:rPr>
              <w:t>图4蒸汽及热水喷出口示意图</w:t>
            </w:r>
          </w:p>
        </w:tc>
      </w:tr>
    </w:tbl>
    <w:p w14:paraId="5FBFDB1B" w14:textId="77777777" w:rsidR="00E31E6F" w:rsidRPr="00E31E6F" w:rsidRDefault="00E31E6F" w:rsidP="00E31E6F">
      <w:pPr>
        <w:rPr>
          <w:sz w:val="24"/>
          <w:szCs w:val="28"/>
        </w:rPr>
      </w:pPr>
      <w:r w:rsidRPr="00E31E6F">
        <w:rPr>
          <w:rFonts w:hint="eastAsia"/>
          <w:b/>
          <w:bCs/>
          <w:sz w:val="24"/>
          <w:szCs w:val="28"/>
        </w:rPr>
        <w:t>（三）受伤人员情况</w:t>
      </w:r>
    </w:p>
    <w:p w14:paraId="5E458641" w14:textId="77777777" w:rsidR="00E31E6F" w:rsidRPr="00E31E6F" w:rsidRDefault="00E31E6F" w:rsidP="00E31E6F">
      <w:pPr>
        <w:rPr>
          <w:rFonts w:hint="eastAsia"/>
          <w:sz w:val="24"/>
          <w:szCs w:val="28"/>
        </w:rPr>
      </w:pPr>
      <w:r w:rsidRPr="00E31E6F">
        <w:rPr>
          <w:rFonts w:hint="eastAsia"/>
          <w:sz w:val="24"/>
          <w:szCs w:val="28"/>
        </w:rPr>
        <w:t>1.陈朝忠，经医院诊断，伤情为三度烧伤，烧伤面积65%，有呼吸性损伤，右下肺感染，休克。入院后病情稳定、意识清醒、可食流食，后经双手植皮手术、双下肢清创手术，现处于恢复期。</w:t>
      </w:r>
    </w:p>
    <w:p w14:paraId="2C3C5796" w14:textId="77777777" w:rsidR="00E31E6F" w:rsidRPr="00E31E6F" w:rsidRDefault="00E31E6F" w:rsidP="00E31E6F">
      <w:pPr>
        <w:rPr>
          <w:rFonts w:hint="eastAsia"/>
          <w:sz w:val="24"/>
          <w:szCs w:val="28"/>
        </w:rPr>
      </w:pPr>
      <w:r w:rsidRPr="00E31E6F">
        <w:rPr>
          <w:rFonts w:hint="eastAsia"/>
          <w:sz w:val="24"/>
          <w:szCs w:val="28"/>
        </w:rPr>
        <w:t>2.黄学林，经医院诊断，伤情为二度烧伤，烧伤面积16%，有呼吸性损伤。入院时病情稳定、意识清醒、可食流食，现已经治疗恢复。</w:t>
      </w:r>
    </w:p>
    <w:p w14:paraId="21F8E585" w14:textId="77777777" w:rsidR="00E31E6F" w:rsidRPr="00E31E6F" w:rsidRDefault="00E31E6F" w:rsidP="00E31E6F">
      <w:pPr>
        <w:rPr>
          <w:rFonts w:hint="eastAsia"/>
          <w:sz w:val="24"/>
          <w:szCs w:val="28"/>
        </w:rPr>
      </w:pPr>
      <w:r w:rsidRPr="00E31E6F">
        <w:rPr>
          <w:rFonts w:hint="eastAsia"/>
          <w:b/>
          <w:bCs/>
          <w:sz w:val="24"/>
          <w:szCs w:val="28"/>
        </w:rPr>
        <w:t>三、事故原因</w:t>
      </w:r>
    </w:p>
    <w:p w14:paraId="6489D27E" w14:textId="77777777" w:rsidR="00E31E6F" w:rsidRPr="00E31E6F" w:rsidRDefault="00E31E6F" w:rsidP="00E31E6F">
      <w:pPr>
        <w:rPr>
          <w:rFonts w:hint="eastAsia"/>
          <w:sz w:val="24"/>
          <w:szCs w:val="28"/>
        </w:rPr>
      </w:pPr>
      <w:bookmarkStart w:id="0" w:name="_Hlk160121357"/>
      <w:bookmarkEnd w:id="0"/>
      <w:r w:rsidRPr="00E31E6F">
        <w:rPr>
          <w:rFonts w:hint="eastAsia"/>
          <w:b/>
          <w:bCs/>
          <w:sz w:val="24"/>
          <w:szCs w:val="28"/>
        </w:rPr>
        <w:t>（一）直接原因</w:t>
      </w:r>
    </w:p>
    <w:p w14:paraId="165D07F0" w14:textId="77777777" w:rsidR="00E31E6F" w:rsidRPr="00E31E6F" w:rsidRDefault="00E31E6F" w:rsidP="00E31E6F">
      <w:pPr>
        <w:rPr>
          <w:rFonts w:hint="eastAsia"/>
          <w:sz w:val="24"/>
          <w:szCs w:val="28"/>
        </w:rPr>
      </w:pPr>
      <w:r w:rsidRPr="00E31E6F">
        <w:rPr>
          <w:rFonts w:hint="eastAsia"/>
          <w:sz w:val="24"/>
          <w:szCs w:val="28"/>
        </w:rPr>
        <w:t>1.陈俊、黄学林、陈朝忠在对焚烧装置二燃室下料口处高温异物（见图5）实施清堵作业时，操作不当且未佩戴有效的高温防护用品。</w:t>
      </w:r>
    </w:p>
    <w:p w14:paraId="0A0645B4" w14:textId="77777777" w:rsidR="00E31E6F" w:rsidRPr="00E31E6F" w:rsidRDefault="00E31E6F" w:rsidP="00E31E6F">
      <w:pPr>
        <w:rPr>
          <w:rFonts w:hint="eastAsia"/>
          <w:sz w:val="24"/>
          <w:szCs w:val="28"/>
        </w:rPr>
      </w:pPr>
      <w:r w:rsidRPr="00E31E6F">
        <w:rPr>
          <w:rFonts w:hint="eastAsia"/>
          <w:sz w:val="24"/>
          <w:szCs w:val="28"/>
        </w:rPr>
        <w:t>2.焚烧设备内由微负压返正压，导致焚烧设备炉内夹带粉尘的高温烟气、水蒸气、</w:t>
      </w:r>
      <w:r w:rsidRPr="00E31E6F">
        <w:rPr>
          <w:rFonts w:hint="eastAsia"/>
          <w:sz w:val="24"/>
          <w:szCs w:val="28"/>
        </w:rPr>
        <w:lastRenderedPageBreak/>
        <w:t>热水突然喷出。正常工况下焚烧设备炉内为微负压，二燃室下料口与湿式刮板捞渣输送机采用水封连接，而二燃室下料口处堵塞的高温异物疏通后，瞬间有大块高温异物掉入湿式刮板捞渣输送机，造成水封液面大幅度震动，同时水与约600℃的炉渣接触瞬间气化，产生局部正压，焚烧设备因此由微负压返正压，导致炉内夹带粉尘的高温烟气、水蒸气、热水从湿式刮板捞渣输送机盖板处喷出。另外，焚烧设备运行过程中，输送机盖板螺栓被擅自拆除，不能有效阻止高温液、气体喷出。</w:t>
      </w:r>
    </w:p>
    <w:p w14:paraId="2DACB0C1" w14:textId="586A8EAE" w:rsidR="00E31E6F" w:rsidRPr="00E31E6F" w:rsidRDefault="00E31E6F" w:rsidP="00E31E6F">
      <w:pPr>
        <w:rPr>
          <w:rFonts w:hint="eastAsia"/>
          <w:sz w:val="24"/>
          <w:szCs w:val="28"/>
        </w:rPr>
      </w:pPr>
      <w:r w:rsidRPr="00E31E6F">
        <w:rPr>
          <w:rFonts w:hint="eastAsia"/>
          <w:b/>
          <w:bCs/>
          <w:sz w:val="24"/>
          <w:szCs w:val="28"/>
        </w:rPr>
        <w:t>图</w:t>
      </w:r>
      <w:r w:rsidRPr="00E31E6F">
        <w:rPr>
          <w:rFonts w:hint="eastAsia"/>
          <w:sz w:val="24"/>
          <w:szCs w:val="28"/>
        </w:rPr>
        <w:drawing>
          <wp:anchor distT="0" distB="0" distL="114300" distR="114300" simplePos="0" relativeHeight="251661312" behindDoc="0" locked="0" layoutInCell="1" allowOverlap="0" wp14:anchorId="0EE57B71" wp14:editId="31F67EC8">
            <wp:simplePos x="0" y="0"/>
            <wp:positionH relativeFrom="column">
              <wp:align>left</wp:align>
            </wp:positionH>
            <wp:positionV relativeFrom="line">
              <wp:posOffset>0</wp:posOffset>
            </wp:positionV>
            <wp:extent cx="3962400" cy="2571750"/>
            <wp:effectExtent l="0" t="0" r="0" b="0"/>
            <wp:wrapSquare wrapText="bothSides"/>
            <wp:docPr id="1610105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E6F">
        <w:rPr>
          <w:rFonts w:hint="eastAsia"/>
          <w:sz w:val="24"/>
          <w:szCs w:val="28"/>
        </w:rPr>
        <w:br/>
      </w:r>
      <w:r w:rsidRPr="00E31E6F">
        <w:rPr>
          <w:rFonts w:hint="eastAsia"/>
          <w:b/>
          <w:bCs/>
          <w:sz w:val="24"/>
          <w:szCs w:val="28"/>
        </w:rPr>
        <w:t>5 焚烧设备二燃室下料口处堵塞的异物示意图</w:t>
      </w:r>
    </w:p>
    <w:p w14:paraId="5505B5F4" w14:textId="77777777" w:rsidR="00E31E6F" w:rsidRPr="00E31E6F" w:rsidRDefault="00E31E6F" w:rsidP="00E31E6F">
      <w:pPr>
        <w:rPr>
          <w:rFonts w:hint="eastAsia"/>
          <w:sz w:val="24"/>
          <w:szCs w:val="28"/>
        </w:rPr>
      </w:pPr>
      <w:r w:rsidRPr="00E31E6F">
        <w:rPr>
          <w:rFonts w:hint="eastAsia"/>
          <w:b/>
          <w:bCs/>
          <w:sz w:val="24"/>
          <w:szCs w:val="28"/>
        </w:rPr>
        <w:t>（二）间接原因</w:t>
      </w:r>
    </w:p>
    <w:p w14:paraId="57222350" w14:textId="77777777" w:rsidR="00E31E6F" w:rsidRPr="00E31E6F" w:rsidRDefault="00E31E6F" w:rsidP="00E31E6F">
      <w:pPr>
        <w:rPr>
          <w:rFonts w:hint="eastAsia"/>
          <w:sz w:val="24"/>
          <w:szCs w:val="28"/>
        </w:rPr>
      </w:pPr>
      <w:r w:rsidRPr="00E31E6F">
        <w:rPr>
          <w:rFonts w:hint="eastAsia"/>
          <w:sz w:val="24"/>
          <w:szCs w:val="28"/>
        </w:rPr>
        <w:t>1.安全风险辨识和隐患排查存在盲区。一是能投化学公司未识别出焚烧装置二燃室下料口堵塞处置时可能产生的高温、灼烫等风险，未能采取有效措施对该风险进行防范。二是能投化学公司回转窑壳体温度长时间超过设计温度，未进行工艺论证与变更；焚烧设备多次出现耐火材料脱落，检维修不彻底。</w:t>
      </w:r>
    </w:p>
    <w:p w14:paraId="53B18D73" w14:textId="77777777" w:rsidR="00E31E6F" w:rsidRPr="00E31E6F" w:rsidRDefault="00E31E6F" w:rsidP="00E31E6F">
      <w:pPr>
        <w:rPr>
          <w:rFonts w:hint="eastAsia"/>
          <w:sz w:val="24"/>
          <w:szCs w:val="28"/>
        </w:rPr>
      </w:pPr>
      <w:r w:rsidRPr="00E31E6F">
        <w:rPr>
          <w:rFonts w:hint="eastAsia"/>
          <w:sz w:val="24"/>
          <w:szCs w:val="28"/>
        </w:rPr>
        <w:t>2.安全管理制度和操作规程不健全。能投化学公司制定的操作规程仅有焚烧的内容，未制定回转窑下料口堵塞异物处置相应的安全管理制度及操作规程，未制定该工况的异常处置措施。</w:t>
      </w:r>
    </w:p>
    <w:p w14:paraId="5D8C695D" w14:textId="77777777" w:rsidR="00E31E6F" w:rsidRPr="00E31E6F" w:rsidRDefault="00E31E6F" w:rsidP="00E31E6F">
      <w:pPr>
        <w:rPr>
          <w:rFonts w:hint="eastAsia"/>
          <w:sz w:val="24"/>
          <w:szCs w:val="28"/>
        </w:rPr>
      </w:pPr>
      <w:r w:rsidRPr="00E31E6F">
        <w:rPr>
          <w:rFonts w:hint="eastAsia"/>
          <w:sz w:val="24"/>
          <w:szCs w:val="28"/>
        </w:rPr>
        <w:t>3.劳动防护措施不符合要求。操作人员没有接受到有关劳动防护用品的教育培训，</w:t>
      </w:r>
      <w:r w:rsidRPr="00E31E6F">
        <w:rPr>
          <w:rFonts w:hint="eastAsia"/>
          <w:sz w:val="24"/>
          <w:szCs w:val="28"/>
        </w:rPr>
        <w:lastRenderedPageBreak/>
        <w:t>到二燃室疏通堵塞异物的时候，没有按照规定配发使用防高温、灼烫的劳动防护用品。</w:t>
      </w:r>
    </w:p>
    <w:p w14:paraId="6EB306E6" w14:textId="77777777" w:rsidR="00E31E6F" w:rsidRPr="00E31E6F" w:rsidRDefault="00E31E6F" w:rsidP="00E31E6F">
      <w:pPr>
        <w:rPr>
          <w:rFonts w:hint="eastAsia"/>
          <w:sz w:val="24"/>
          <w:szCs w:val="28"/>
        </w:rPr>
      </w:pPr>
      <w:r w:rsidRPr="00E31E6F">
        <w:rPr>
          <w:rFonts w:hint="eastAsia"/>
          <w:sz w:val="24"/>
          <w:szCs w:val="28"/>
        </w:rPr>
        <w:t>4.安全生产教育培训不规范。能投化学公司仅对力庆仓储公司员工黄学林开展了叉车岗位的教育培训，未告知可能涉及的安全风险和防范措施；对本公司新进员工陈朝忠的三级安全生产教育培训时间不足（见图6、7）。</w:t>
      </w:r>
    </w:p>
    <w:tbl>
      <w:tblPr>
        <w:tblW w:w="8835" w:type="dxa"/>
        <w:tblCellMar>
          <w:top w:w="84" w:type="dxa"/>
          <w:left w:w="84" w:type="dxa"/>
          <w:bottom w:w="84" w:type="dxa"/>
          <w:right w:w="84" w:type="dxa"/>
        </w:tblCellMar>
        <w:tblLook w:val="04A0" w:firstRow="1" w:lastRow="0" w:firstColumn="1" w:lastColumn="0" w:noHBand="0" w:noVBand="1"/>
      </w:tblPr>
      <w:tblGrid>
        <w:gridCol w:w="4417"/>
        <w:gridCol w:w="4418"/>
      </w:tblGrid>
      <w:tr w:rsidR="00E31E6F" w:rsidRPr="00E31E6F" w14:paraId="2494262A" w14:textId="77777777" w:rsidTr="00E31E6F">
        <w:tc>
          <w:tcPr>
            <w:tcW w:w="4200" w:type="dxa"/>
            <w:tcBorders>
              <w:top w:val="nil"/>
              <w:left w:val="nil"/>
              <w:bottom w:val="nil"/>
              <w:right w:val="nil"/>
            </w:tcBorders>
            <w:tcMar>
              <w:top w:w="75" w:type="dxa"/>
              <w:left w:w="75" w:type="dxa"/>
              <w:bottom w:w="75" w:type="dxa"/>
              <w:right w:w="75" w:type="dxa"/>
            </w:tcMar>
            <w:hideMark/>
          </w:tcPr>
          <w:p w14:paraId="651C97E5" w14:textId="2676B720" w:rsidR="00E31E6F" w:rsidRPr="00E31E6F" w:rsidRDefault="00E31E6F" w:rsidP="00E31E6F">
            <w:pPr>
              <w:rPr>
                <w:rFonts w:hint="eastAsia"/>
                <w:sz w:val="24"/>
                <w:szCs w:val="28"/>
              </w:rPr>
            </w:pPr>
            <w:r w:rsidRPr="00E31E6F">
              <w:rPr>
                <w:rFonts w:hint="eastAsia"/>
                <w:sz w:val="24"/>
                <w:szCs w:val="28"/>
              </w:rPr>
              <w:drawing>
                <wp:inline distT="0" distB="0" distL="0" distR="0" wp14:anchorId="7D982CDF" wp14:editId="25B6ED30">
                  <wp:extent cx="2506980" cy="3345180"/>
                  <wp:effectExtent l="0" t="0" r="7620" b="7620"/>
                  <wp:docPr id="83749389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6980" cy="3345180"/>
                          </a:xfrm>
                          <a:prstGeom prst="rect">
                            <a:avLst/>
                          </a:prstGeom>
                          <a:noFill/>
                          <a:ln>
                            <a:noFill/>
                          </a:ln>
                        </pic:spPr>
                      </pic:pic>
                    </a:graphicData>
                  </a:graphic>
                </wp:inline>
              </w:drawing>
            </w:r>
          </w:p>
        </w:tc>
        <w:tc>
          <w:tcPr>
            <w:tcW w:w="4200" w:type="dxa"/>
            <w:tcBorders>
              <w:top w:val="nil"/>
              <w:left w:val="nil"/>
              <w:bottom w:val="nil"/>
              <w:right w:val="nil"/>
            </w:tcBorders>
            <w:tcMar>
              <w:top w:w="75" w:type="dxa"/>
              <w:left w:w="75" w:type="dxa"/>
              <w:bottom w:w="75" w:type="dxa"/>
              <w:right w:w="75" w:type="dxa"/>
            </w:tcMar>
            <w:hideMark/>
          </w:tcPr>
          <w:p w14:paraId="14FC0D3A" w14:textId="6E37E761" w:rsidR="00E31E6F" w:rsidRPr="00E31E6F" w:rsidRDefault="00E31E6F" w:rsidP="00E31E6F">
            <w:pPr>
              <w:rPr>
                <w:sz w:val="24"/>
                <w:szCs w:val="28"/>
              </w:rPr>
            </w:pPr>
            <w:r w:rsidRPr="00E31E6F">
              <w:rPr>
                <w:rFonts w:hint="eastAsia"/>
                <w:sz w:val="24"/>
                <w:szCs w:val="28"/>
              </w:rPr>
              <w:drawing>
                <wp:inline distT="0" distB="0" distL="0" distR="0" wp14:anchorId="51FE6531" wp14:editId="33F6FF8F">
                  <wp:extent cx="2506980" cy="3345180"/>
                  <wp:effectExtent l="0" t="0" r="7620" b="7620"/>
                  <wp:docPr id="3228924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6980" cy="3345180"/>
                          </a:xfrm>
                          <a:prstGeom prst="rect">
                            <a:avLst/>
                          </a:prstGeom>
                          <a:noFill/>
                          <a:ln>
                            <a:noFill/>
                          </a:ln>
                        </pic:spPr>
                      </pic:pic>
                    </a:graphicData>
                  </a:graphic>
                </wp:inline>
              </w:drawing>
            </w:r>
          </w:p>
        </w:tc>
      </w:tr>
      <w:tr w:rsidR="00E31E6F" w:rsidRPr="00E31E6F" w14:paraId="29D336A8" w14:textId="77777777" w:rsidTr="00E31E6F">
        <w:trPr>
          <w:trHeight w:val="108"/>
        </w:trPr>
        <w:tc>
          <w:tcPr>
            <w:tcW w:w="4200" w:type="dxa"/>
            <w:tcBorders>
              <w:top w:val="nil"/>
              <w:left w:val="nil"/>
              <w:bottom w:val="nil"/>
              <w:right w:val="nil"/>
            </w:tcBorders>
            <w:tcMar>
              <w:top w:w="75" w:type="dxa"/>
              <w:left w:w="75" w:type="dxa"/>
              <w:bottom w:w="75" w:type="dxa"/>
              <w:right w:w="75" w:type="dxa"/>
            </w:tcMar>
            <w:hideMark/>
          </w:tcPr>
          <w:p w14:paraId="6288E6A8" w14:textId="77777777" w:rsidR="00E31E6F" w:rsidRPr="00E31E6F" w:rsidRDefault="00E31E6F" w:rsidP="00E31E6F">
            <w:pPr>
              <w:rPr>
                <w:sz w:val="24"/>
                <w:szCs w:val="28"/>
              </w:rPr>
            </w:pPr>
            <w:r w:rsidRPr="00E31E6F">
              <w:rPr>
                <w:rFonts w:hint="eastAsia"/>
                <w:b/>
                <w:bCs/>
                <w:sz w:val="24"/>
                <w:szCs w:val="28"/>
              </w:rPr>
              <w:t>图6黄学林安全教育培训记录</w:t>
            </w:r>
          </w:p>
        </w:tc>
        <w:tc>
          <w:tcPr>
            <w:tcW w:w="4200" w:type="dxa"/>
            <w:tcBorders>
              <w:top w:val="nil"/>
              <w:left w:val="nil"/>
              <w:bottom w:val="nil"/>
              <w:right w:val="nil"/>
            </w:tcBorders>
            <w:tcMar>
              <w:top w:w="75" w:type="dxa"/>
              <w:left w:w="75" w:type="dxa"/>
              <w:bottom w:w="75" w:type="dxa"/>
              <w:right w:w="75" w:type="dxa"/>
            </w:tcMar>
            <w:hideMark/>
          </w:tcPr>
          <w:p w14:paraId="3905AD39" w14:textId="77777777" w:rsidR="00E31E6F" w:rsidRPr="00E31E6F" w:rsidRDefault="00E31E6F" w:rsidP="00E31E6F">
            <w:pPr>
              <w:rPr>
                <w:sz w:val="24"/>
                <w:szCs w:val="28"/>
              </w:rPr>
            </w:pPr>
            <w:r w:rsidRPr="00E31E6F">
              <w:rPr>
                <w:rFonts w:hint="eastAsia"/>
                <w:b/>
                <w:bCs/>
                <w:sz w:val="24"/>
                <w:szCs w:val="28"/>
              </w:rPr>
              <w:t>图7陈朝忠安全教育培训记录</w:t>
            </w:r>
          </w:p>
        </w:tc>
      </w:tr>
    </w:tbl>
    <w:p w14:paraId="26E4816E" w14:textId="77777777" w:rsidR="00E31E6F" w:rsidRPr="00E31E6F" w:rsidRDefault="00E31E6F" w:rsidP="00E31E6F">
      <w:pPr>
        <w:rPr>
          <w:sz w:val="24"/>
          <w:szCs w:val="28"/>
        </w:rPr>
      </w:pPr>
      <w:r w:rsidRPr="00E31E6F">
        <w:rPr>
          <w:rFonts w:hint="eastAsia"/>
          <w:b/>
          <w:bCs/>
          <w:sz w:val="24"/>
          <w:szCs w:val="28"/>
        </w:rPr>
        <w:t>四、对有关责任人员和责任单位的处理建议</w:t>
      </w:r>
    </w:p>
    <w:p w14:paraId="27462DDB" w14:textId="77777777" w:rsidR="00E31E6F" w:rsidRPr="00E31E6F" w:rsidRDefault="00E31E6F" w:rsidP="00E31E6F">
      <w:pPr>
        <w:rPr>
          <w:rFonts w:hint="eastAsia"/>
          <w:sz w:val="24"/>
          <w:szCs w:val="28"/>
        </w:rPr>
      </w:pPr>
      <w:r w:rsidRPr="00E31E6F">
        <w:rPr>
          <w:rFonts w:hint="eastAsia"/>
          <w:b/>
          <w:bCs/>
          <w:sz w:val="24"/>
          <w:szCs w:val="28"/>
        </w:rPr>
        <w:t>（一）建议给予行政处罚的人员</w:t>
      </w:r>
    </w:p>
    <w:p w14:paraId="4A59FCAE" w14:textId="77777777" w:rsidR="00E31E6F" w:rsidRPr="00E31E6F" w:rsidRDefault="00E31E6F" w:rsidP="00E31E6F">
      <w:pPr>
        <w:rPr>
          <w:rFonts w:hint="eastAsia"/>
          <w:sz w:val="24"/>
          <w:szCs w:val="28"/>
        </w:rPr>
      </w:pPr>
      <w:r w:rsidRPr="00E31E6F">
        <w:rPr>
          <w:rFonts w:hint="eastAsia"/>
          <w:sz w:val="24"/>
          <w:szCs w:val="28"/>
        </w:rPr>
        <w:t>黄涛，男，四川能投化学新材料有限公司总经理，具体负责公司全面工作。未认真履行主要负责人的安全生产法定职责，未组织制定焚烧设备炉清堵操作规程，未有效开展设备设施检维修环节的安全风险辨识和评估，未及时排查发现焚烧设备炉清堵过程中可能存在的烧烫伤风险，且未按规定配发防高温、防烫伤的劳动防护用品，对事故负有主要管理责任，其行为违反了《中华人民共和国安全生产</w:t>
      </w:r>
      <w:r w:rsidRPr="00E31E6F">
        <w:rPr>
          <w:rFonts w:hint="eastAsia"/>
          <w:sz w:val="24"/>
          <w:szCs w:val="28"/>
        </w:rPr>
        <w:lastRenderedPageBreak/>
        <w:t>法》第二十一条第（五）项的规定，建议由市应急管理局依据《中华人民共和国安全生产法》第九十五条第（一）项的规定，依法给予行政处罚。</w:t>
      </w:r>
    </w:p>
    <w:p w14:paraId="793F7C0B" w14:textId="77777777" w:rsidR="00E31E6F" w:rsidRPr="00E31E6F" w:rsidRDefault="00E31E6F" w:rsidP="00E31E6F">
      <w:pPr>
        <w:rPr>
          <w:rFonts w:hint="eastAsia"/>
          <w:sz w:val="24"/>
          <w:szCs w:val="28"/>
        </w:rPr>
      </w:pPr>
      <w:r w:rsidRPr="00E31E6F">
        <w:rPr>
          <w:rFonts w:hint="eastAsia"/>
          <w:b/>
          <w:bCs/>
          <w:sz w:val="24"/>
          <w:szCs w:val="28"/>
        </w:rPr>
        <w:t>（二）建议给予行政处罚的单位</w:t>
      </w:r>
    </w:p>
    <w:p w14:paraId="1386B439" w14:textId="77777777" w:rsidR="00E31E6F" w:rsidRPr="00E31E6F" w:rsidRDefault="00E31E6F" w:rsidP="00E31E6F">
      <w:pPr>
        <w:rPr>
          <w:rFonts w:hint="eastAsia"/>
          <w:sz w:val="24"/>
          <w:szCs w:val="28"/>
        </w:rPr>
      </w:pPr>
      <w:r w:rsidRPr="00E31E6F">
        <w:rPr>
          <w:rFonts w:hint="eastAsia"/>
          <w:sz w:val="24"/>
          <w:szCs w:val="28"/>
        </w:rPr>
        <w:t>四川能投化学新材料有限公司。落实安全生产主体责任不到位，对事故负有主要管理责任，其行为违反了《中华人民共和国安全生产法》第四十一条的规定，建议由市应急管理局依据《中华人民共和国安全生产法》第一百一十四条第（一）项的规定，依法给予行政处罚。</w:t>
      </w:r>
    </w:p>
    <w:p w14:paraId="31BCBCDC" w14:textId="77777777" w:rsidR="00E31E6F" w:rsidRPr="00E31E6F" w:rsidRDefault="00E31E6F" w:rsidP="00E31E6F">
      <w:pPr>
        <w:rPr>
          <w:rFonts w:hint="eastAsia"/>
          <w:sz w:val="24"/>
          <w:szCs w:val="28"/>
        </w:rPr>
      </w:pPr>
      <w:r w:rsidRPr="00E31E6F">
        <w:rPr>
          <w:rFonts w:hint="eastAsia"/>
          <w:b/>
          <w:bCs/>
          <w:sz w:val="24"/>
          <w:szCs w:val="28"/>
        </w:rPr>
        <w:t>（三）</w:t>
      </w:r>
      <w:r w:rsidRPr="00E31E6F">
        <w:rPr>
          <w:b/>
          <w:bCs/>
          <w:sz w:val="24"/>
          <w:szCs w:val="28"/>
        </w:rPr>
        <w:t>建议</w:t>
      </w:r>
      <w:r w:rsidRPr="00E31E6F">
        <w:rPr>
          <w:rFonts w:hint="eastAsia"/>
          <w:b/>
          <w:bCs/>
          <w:sz w:val="24"/>
          <w:szCs w:val="28"/>
        </w:rPr>
        <w:t>不予追责问责的单位</w:t>
      </w:r>
    </w:p>
    <w:p w14:paraId="30A608B5" w14:textId="77777777" w:rsidR="00E31E6F" w:rsidRPr="00E31E6F" w:rsidRDefault="00E31E6F" w:rsidP="00E31E6F">
      <w:pPr>
        <w:rPr>
          <w:rFonts w:hint="eastAsia"/>
          <w:sz w:val="24"/>
          <w:szCs w:val="28"/>
        </w:rPr>
      </w:pPr>
      <w:r w:rsidRPr="00E31E6F">
        <w:rPr>
          <w:rFonts w:hint="eastAsia"/>
          <w:sz w:val="24"/>
          <w:szCs w:val="28"/>
        </w:rPr>
        <w:t>四川力庆仓储有限公司。该公司履行了劳务派遣单位相应的安全生产管理责任，建议不追究其责任。</w:t>
      </w:r>
    </w:p>
    <w:p w14:paraId="6CA8D7DA" w14:textId="77777777" w:rsidR="00E31E6F" w:rsidRPr="00E31E6F" w:rsidRDefault="00E31E6F" w:rsidP="00E31E6F">
      <w:pPr>
        <w:rPr>
          <w:rFonts w:hint="eastAsia"/>
          <w:sz w:val="24"/>
          <w:szCs w:val="28"/>
        </w:rPr>
      </w:pPr>
      <w:r w:rsidRPr="00E31E6F">
        <w:rPr>
          <w:rFonts w:hint="eastAsia"/>
          <w:b/>
          <w:bCs/>
          <w:sz w:val="24"/>
          <w:szCs w:val="28"/>
        </w:rPr>
        <w:t>五、整改和防范措施建议</w:t>
      </w:r>
    </w:p>
    <w:p w14:paraId="246DA6B4" w14:textId="77777777" w:rsidR="00E31E6F" w:rsidRPr="00E31E6F" w:rsidRDefault="00E31E6F" w:rsidP="00E31E6F">
      <w:pPr>
        <w:rPr>
          <w:rFonts w:hint="eastAsia"/>
          <w:sz w:val="24"/>
          <w:szCs w:val="28"/>
        </w:rPr>
      </w:pPr>
      <w:r w:rsidRPr="00E31E6F">
        <w:rPr>
          <w:rFonts w:hint="eastAsia"/>
          <w:b/>
          <w:bCs/>
          <w:sz w:val="24"/>
          <w:szCs w:val="28"/>
        </w:rPr>
        <w:t>（一）汲取事故教训，及时堵塞安全生产漏洞。</w:t>
      </w:r>
      <w:r w:rsidRPr="00E31E6F">
        <w:rPr>
          <w:rFonts w:hint="eastAsia"/>
          <w:sz w:val="24"/>
          <w:szCs w:val="28"/>
        </w:rPr>
        <w:t>能投化学公司要深刻汲取事故教训，及时加强问题整改，全面堵塞管理漏洞。一要及时制定或修订完善各项操作规程，尤其是焚烧装置异常工况处置规程，每年对操作规程的适应性和有效性进行确认，强化作业安全和技术管理，确保各项安全管理措施有效落实。二要强化设备运行安全管理，建立健全设备设施缺陷的辨识、分析、报告、处理的闭环机制并持续改进，动态更新设备检查、预防性维护计划，严禁“带病运行”。三要规范开展作业人员转岗培训和三级安全生产教育培训，如实告知作业场所、工作岗位存在的安全风险、防范措施和应急处置措施。对劳动派遣人员必须针对性进行岗位安全操作规程和安全操作技能培训，坚决杜绝“以包代管”行为。</w:t>
      </w:r>
    </w:p>
    <w:p w14:paraId="1DA11F6F" w14:textId="77777777" w:rsidR="00E31E6F" w:rsidRPr="00E31E6F" w:rsidRDefault="00E31E6F" w:rsidP="00E31E6F">
      <w:pPr>
        <w:rPr>
          <w:rFonts w:hint="eastAsia"/>
          <w:sz w:val="24"/>
          <w:szCs w:val="28"/>
        </w:rPr>
      </w:pPr>
      <w:r w:rsidRPr="00E31E6F">
        <w:rPr>
          <w:rFonts w:hint="eastAsia"/>
          <w:b/>
          <w:bCs/>
          <w:sz w:val="24"/>
          <w:szCs w:val="28"/>
        </w:rPr>
        <w:t>（二）强化风险管控，深入推进双重预防机制。</w:t>
      </w:r>
      <w:r w:rsidRPr="00E31E6F">
        <w:rPr>
          <w:rFonts w:hint="eastAsia"/>
          <w:sz w:val="24"/>
          <w:szCs w:val="28"/>
        </w:rPr>
        <w:t>能投化学公司要深入推进安全风险辨识管控和隐患排查治理双重预防体系建设，完善风险点危险源跟踪、监测、</w:t>
      </w:r>
      <w:r w:rsidRPr="00E31E6F">
        <w:rPr>
          <w:rFonts w:hint="eastAsia"/>
          <w:sz w:val="24"/>
          <w:szCs w:val="28"/>
        </w:rPr>
        <w:lastRenderedPageBreak/>
        <w:t>预警、处置工作机制，突出抓好事故易发重点区域、重点部位和重点环节的排查治理，坚决不留死角盲区，对查出的安全隐患要综合分析、分类分级，逐一明确隐患整治责任人、整治时限和整改措施，及时验收销号，确保隐患排查治理闭环管理。在处置重大隐患过程中，要拟定现场处置方案，严防在治理隐患过程中再次发生安全事故。</w:t>
      </w:r>
    </w:p>
    <w:p w14:paraId="493FA936" w14:textId="77777777" w:rsidR="00E31E6F" w:rsidRPr="00E31E6F" w:rsidRDefault="00E31E6F" w:rsidP="00E31E6F">
      <w:pPr>
        <w:rPr>
          <w:rFonts w:hint="eastAsia"/>
          <w:sz w:val="24"/>
          <w:szCs w:val="28"/>
        </w:rPr>
      </w:pPr>
      <w:r w:rsidRPr="00E31E6F">
        <w:rPr>
          <w:rFonts w:hint="eastAsia"/>
          <w:b/>
          <w:bCs/>
          <w:sz w:val="24"/>
          <w:szCs w:val="28"/>
        </w:rPr>
        <w:t>（三）加强督查检查，切实履行属地监管责任。</w:t>
      </w:r>
      <w:r w:rsidRPr="00E31E6F">
        <w:rPr>
          <w:rFonts w:hint="eastAsia"/>
          <w:sz w:val="24"/>
          <w:szCs w:val="28"/>
        </w:rPr>
        <w:t>南充经开区要严格贯彻落实《中华人民共和国安全生产法》《危险化学品安全管理条例》等法律法规的规定，切实履行属地监管责任，充分借助第三方服务机构和有关专家力量，进一步加大园区企业安全生产督查检查力度，督促指导企业全面落实安全生产主体责任，全力提升安全风险管控能力，全方位加强作业现场安全管理，严防各类事故发生。同时，要进一步健全完善安全生产有奖举报制度，广泛告知安全生产举报受理渠道，引导企业员工积极参与安全隐患排查治理，及时发现和消除各类事故隐患，最大程度确保园区安全生产形势稳定可控。</w:t>
      </w:r>
    </w:p>
    <w:p w14:paraId="2E4820A3" w14:textId="77777777" w:rsidR="00990FAF" w:rsidRPr="00E31E6F" w:rsidRDefault="00990FAF">
      <w:pPr>
        <w:rPr>
          <w:rFonts w:hint="eastAsia"/>
          <w:sz w:val="24"/>
          <w:szCs w:val="28"/>
        </w:rPr>
      </w:pPr>
    </w:p>
    <w:sectPr w:rsidR="00990FAF" w:rsidRPr="00E31E6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49B5D" w14:textId="77777777" w:rsidR="00E31E6F" w:rsidRDefault="00E31E6F" w:rsidP="00E31E6F">
      <w:pPr>
        <w:rPr>
          <w:rFonts w:hint="eastAsia"/>
        </w:rPr>
      </w:pPr>
      <w:r>
        <w:separator/>
      </w:r>
    </w:p>
  </w:endnote>
  <w:endnote w:type="continuationSeparator" w:id="0">
    <w:p w14:paraId="33A8B8C2" w14:textId="77777777" w:rsidR="00E31E6F" w:rsidRDefault="00E31E6F" w:rsidP="00E31E6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F85CB" w14:textId="77777777" w:rsidR="00E31E6F" w:rsidRDefault="00E31E6F" w:rsidP="00E31E6F">
      <w:pPr>
        <w:rPr>
          <w:rFonts w:hint="eastAsia"/>
        </w:rPr>
      </w:pPr>
      <w:r>
        <w:separator/>
      </w:r>
    </w:p>
  </w:footnote>
  <w:footnote w:type="continuationSeparator" w:id="0">
    <w:p w14:paraId="5E57A68E" w14:textId="77777777" w:rsidR="00E31E6F" w:rsidRDefault="00E31E6F" w:rsidP="00E31E6F">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21F"/>
    <w:rsid w:val="0018721F"/>
    <w:rsid w:val="00227E9D"/>
    <w:rsid w:val="00345D4E"/>
    <w:rsid w:val="00761114"/>
    <w:rsid w:val="00990FAF"/>
    <w:rsid w:val="00E31E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3BA2C2C8"/>
  <w15:chartTrackingRefBased/>
  <w15:docId w15:val="{F1314344-7A4A-431F-8CF6-E9EA7290F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8721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18721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18721F"/>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18721F"/>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18721F"/>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18721F"/>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18721F"/>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18721F"/>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18721F"/>
    <w:pPr>
      <w:keepNext/>
      <w:keepLines/>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8721F"/>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18721F"/>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18721F"/>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18721F"/>
    <w:rPr>
      <w:rFonts w:cstheme="majorBidi"/>
      <w:color w:val="0F4761" w:themeColor="accent1" w:themeShade="BF"/>
      <w:sz w:val="28"/>
      <w:szCs w:val="28"/>
    </w:rPr>
  </w:style>
  <w:style w:type="character" w:customStyle="1" w:styleId="50">
    <w:name w:val="标题 5 字符"/>
    <w:basedOn w:val="a0"/>
    <w:link w:val="5"/>
    <w:uiPriority w:val="9"/>
    <w:semiHidden/>
    <w:rsid w:val="0018721F"/>
    <w:rPr>
      <w:rFonts w:cstheme="majorBidi"/>
      <w:color w:val="0F4761" w:themeColor="accent1" w:themeShade="BF"/>
      <w:sz w:val="24"/>
      <w:szCs w:val="24"/>
    </w:rPr>
  </w:style>
  <w:style w:type="character" w:customStyle="1" w:styleId="60">
    <w:name w:val="标题 6 字符"/>
    <w:basedOn w:val="a0"/>
    <w:link w:val="6"/>
    <w:uiPriority w:val="9"/>
    <w:semiHidden/>
    <w:rsid w:val="0018721F"/>
    <w:rPr>
      <w:rFonts w:cstheme="majorBidi"/>
      <w:b/>
      <w:bCs/>
      <w:color w:val="0F4761" w:themeColor="accent1" w:themeShade="BF"/>
    </w:rPr>
  </w:style>
  <w:style w:type="character" w:customStyle="1" w:styleId="70">
    <w:name w:val="标题 7 字符"/>
    <w:basedOn w:val="a0"/>
    <w:link w:val="7"/>
    <w:uiPriority w:val="9"/>
    <w:semiHidden/>
    <w:rsid w:val="0018721F"/>
    <w:rPr>
      <w:rFonts w:cstheme="majorBidi"/>
      <w:b/>
      <w:bCs/>
      <w:color w:val="595959" w:themeColor="text1" w:themeTint="A6"/>
    </w:rPr>
  </w:style>
  <w:style w:type="character" w:customStyle="1" w:styleId="80">
    <w:name w:val="标题 8 字符"/>
    <w:basedOn w:val="a0"/>
    <w:link w:val="8"/>
    <w:uiPriority w:val="9"/>
    <w:semiHidden/>
    <w:rsid w:val="0018721F"/>
    <w:rPr>
      <w:rFonts w:cstheme="majorBidi"/>
      <w:color w:val="595959" w:themeColor="text1" w:themeTint="A6"/>
    </w:rPr>
  </w:style>
  <w:style w:type="character" w:customStyle="1" w:styleId="90">
    <w:name w:val="标题 9 字符"/>
    <w:basedOn w:val="a0"/>
    <w:link w:val="9"/>
    <w:uiPriority w:val="9"/>
    <w:semiHidden/>
    <w:rsid w:val="0018721F"/>
    <w:rPr>
      <w:rFonts w:eastAsiaTheme="majorEastAsia" w:cstheme="majorBidi"/>
      <w:color w:val="595959" w:themeColor="text1" w:themeTint="A6"/>
    </w:rPr>
  </w:style>
  <w:style w:type="paragraph" w:styleId="a3">
    <w:name w:val="Title"/>
    <w:basedOn w:val="a"/>
    <w:next w:val="a"/>
    <w:link w:val="a4"/>
    <w:uiPriority w:val="10"/>
    <w:qFormat/>
    <w:rsid w:val="0018721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18721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8721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18721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8721F"/>
    <w:pPr>
      <w:spacing w:before="160" w:after="160"/>
      <w:jc w:val="center"/>
    </w:pPr>
    <w:rPr>
      <w:i/>
      <w:iCs/>
      <w:color w:val="404040" w:themeColor="text1" w:themeTint="BF"/>
    </w:rPr>
  </w:style>
  <w:style w:type="character" w:customStyle="1" w:styleId="a8">
    <w:name w:val="引用 字符"/>
    <w:basedOn w:val="a0"/>
    <w:link w:val="a7"/>
    <w:uiPriority w:val="29"/>
    <w:rsid w:val="0018721F"/>
    <w:rPr>
      <w:i/>
      <w:iCs/>
      <w:color w:val="404040" w:themeColor="text1" w:themeTint="BF"/>
    </w:rPr>
  </w:style>
  <w:style w:type="paragraph" w:styleId="a9">
    <w:name w:val="List Paragraph"/>
    <w:basedOn w:val="a"/>
    <w:uiPriority w:val="34"/>
    <w:qFormat/>
    <w:rsid w:val="0018721F"/>
    <w:pPr>
      <w:ind w:left="720"/>
      <w:contextualSpacing/>
    </w:pPr>
  </w:style>
  <w:style w:type="character" w:styleId="aa">
    <w:name w:val="Intense Emphasis"/>
    <w:basedOn w:val="a0"/>
    <w:uiPriority w:val="21"/>
    <w:qFormat/>
    <w:rsid w:val="0018721F"/>
    <w:rPr>
      <w:i/>
      <w:iCs/>
      <w:color w:val="0F4761" w:themeColor="accent1" w:themeShade="BF"/>
    </w:rPr>
  </w:style>
  <w:style w:type="paragraph" w:styleId="ab">
    <w:name w:val="Intense Quote"/>
    <w:basedOn w:val="a"/>
    <w:next w:val="a"/>
    <w:link w:val="ac"/>
    <w:uiPriority w:val="30"/>
    <w:qFormat/>
    <w:rsid w:val="001872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18721F"/>
    <w:rPr>
      <w:i/>
      <w:iCs/>
      <w:color w:val="0F4761" w:themeColor="accent1" w:themeShade="BF"/>
    </w:rPr>
  </w:style>
  <w:style w:type="character" w:styleId="ad">
    <w:name w:val="Intense Reference"/>
    <w:basedOn w:val="a0"/>
    <w:uiPriority w:val="32"/>
    <w:qFormat/>
    <w:rsid w:val="0018721F"/>
    <w:rPr>
      <w:b/>
      <w:bCs/>
      <w:smallCaps/>
      <w:color w:val="0F4761" w:themeColor="accent1" w:themeShade="BF"/>
      <w:spacing w:val="5"/>
    </w:rPr>
  </w:style>
  <w:style w:type="paragraph" w:styleId="ae">
    <w:name w:val="header"/>
    <w:basedOn w:val="a"/>
    <w:link w:val="af"/>
    <w:uiPriority w:val="99"/>
    <w:unhideWhenUsed/>
    <w:rsid w:val="00E31E6F"/>
    <w:pPr>
      <w:tabs>
        <w:tab w:val="center" w:pos="4153"/>
        <w:tab w:val="right" w:pos="8306"/>
      </w:tabs>
      <w:snapToGrid w:val="0"/>
      <w:jc w:val="center"/>
    </w:pPr>
    <w:rPr>
      <w:sz w:val="18"/>
      <w:szCs w:val="18"/>
    </w:rPr>
  </w:style>
  <w:style w:type="character" w:customStyle="1" w:styleId="af">
    <w:name w:val="页眉 字符"/>
    <w:basedOn w:val="a0"/>
    <w:link w:val="ae"/>
    <w:uiPriority w:val="99"/>
    <w:rsid w:val="00E31E6F"/>
    <w:rPr>
      <w:sz w:val="18"/>
      <w:szCs w:val="18"/>
    </w:rPr>
  </w:style>
  <w:style w:type="paragraph" w:styleId="af0">
    <w:name w:val="footer"/>
    <w:basedOn w:val="a"/>
    <w:link w:val="af1"/>
    <w:uiPriority w:val="99"/>
    <w:unhideWhenUsed/>
    <w:rsid w:val="00E31E6F"/>
    <w:pPr>
      <w:tabs>
        <w:tab w:val="center" w:pos="4153"/>
        <w:tab w:val="right" w:pos="8306"/>
      </w:tabs>
      <w:snapToGrid w:val="0"/>
      <w:jc w:val="left"/>
    </w:pPr>
    <w:rPr>
      <w:sz w:val="18"/>
      <w:szCs w:val="18"/>
    </w:rPr>
  </w:style>
  <w:style w:type="character" w:customStyle="1" w:styleId="af1">
    <w:name w:val="页脚 字符"/>
    <w:basedOn w:val="a0"/>
    <w:link w:val="af0"/>
    <w:uiPriority w:val="99"/>
    <w:rsid w:val="00E31E6F"/>
    <w:rPr>
      <w:sz w:val="18"/>
      <w:szCs w:val="18"/>
    </w:rPr>
  </w:style>
  <w:style w:type="character" w:styleId="af2">
    <w:name w:val="Hyperlink"/>
    <w:basedOn w:val="a0"/>
    <w:uiPriority w:val="99"/>
    <w:unhideWhenUsed/>
    <w:rsid w:val="00345D4E"/>
    <w:rPr>
      <w:color w:val="467886" w:themeColor="hyperlink"/>
      <w:u w:val="single"/>
    </w:rPr>
  </w:style>
  <w:style w:type="character" w:styleId="af3">
    <w:name w:val="Unresolved Mention"/>
    <w:basedOn w:val="a0"/>
    <w:uiPriority w:val="99"/>
    <w:semiHidden/>
    <w:unhideWhenUsed/>
    <w:rsid w:val="00345D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838267">
      <w:bodyDiv w:val="1"/>
      <w:marLeft w:val="0"/>
      <w:marRight w:val="0"/>
      <w:marTop w:val="0"/>
      <w:marBottom w:val="0"/>
      <w:divBdr>
        <w:top w:val="none" w:sz="0" w:space="0" w:color="auto"/>
        <w:left w:val="none" w:sz="0" w:space="0" w:color="auto"/>
        <w:bottom w:val="none" w:sz="0" w:space="0" w:color="auto"/>
        <w:right w:val="none" w:sz="0" w:space="0" w:color="auto"/>
      </w:divBdr>
      <w:divsChild>
        <w:div w:id="88475853">
          <w:marLeft w:val="0"/>
          <w:marRight w:val="0"/>
          <w:marTop w:val="0"/>
          <w:marBottom w:val="0"/>
          <w:divBdr>
            <w:top w:val="none" w:sz="0" w:space="0" w:color="auto"/>
            <w:left w:val="none" w:sz="0" w:space="0" w:color="auto"/>
            <w:bottom w:val="none" w:sz="0" w:space="0" w:color="auto"/>
            <w:right w:val="none" w:sz="0" w:space="0" w:color="auto"/>
          </w:divBdr>
        </w:div>
        <w:div w:id="2081907580">
          <w:marLeft w:val="0"/>
          <w:marRight w:val="0"/>
          <w:marTop w:val="0"/>
          <w:marBottom w:val="0"/>
          <w:divBdr>
            <w:top w:val="none" w:sz="0" w:space="0" w:color="auto"/>
            <w:left w:val="none" w:sz="0" w:space="0" w:color="auto"/>
            <w:bottom w:val="none" w:sz="0" w:space="0" w:color="auto"/>
            <w:right w:val="none" w:sz="0" w:space="0" w:color="auto"/>
          </w:divBdr>
        </w:div>
      </w:divsChild>
    </w:div>
    <w:div w:id="1356155024">
      <w:bodyDiv w:val="1"/>
      <w:marLeft w:val="0"/>
      <w:marRight w:val="0"/>
      <w:marTop w:val="0"/>
      <w:marBottom w:val="0"/>
      <w:divBdr>
        <w:top w:val="none" w:sz="0" w:space="0" w:color="auto"/>
        <w:left w:val="none" w:sz="0" w:space="0" w:color="auto"/>
        <w:bottom w:val="none" w:sz="0" w:space="0" w:color="auto"/>
        <w:right w:val="none" w:sz="0" w:space="0" w:color="auto"/>
      </w:divBdr>
      <w:divsChild>
        <w:div w:id="1392339650">
          <w:marLeft w:val="0"/>
          <w:marRight w:val="0"/>
          <w:marTop w:val="0"/>
          <w:marBottom w:val="0"/>
          <w:divBdr>
            <w:top w:val="none" w:sz="0" w:space="0" w:color="auto"/>
            <w:left w:val="none" w:sz="0" w:space="0" w:color="auto"/>
            <w:bottom w:val="none" w:sz="0" w:space="0" w:color="auto"/>
            <w:right w:val="none" w:sz="0" w:space="0" w:color="auto"/>
          </w:divBdr>
        </w:div>
        <w:div w:id="698175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anchong.gov.cn/yjglj/xwdt/tzgg/t_2055973.html"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677</Words>
  <Characters>3862</Characters>
  <Application>Microsoft Office Word</Application>
  <DocSecurity>0</DocSecurity>
  <Lines>32</Lines>
  <Paragraphs>9</Paragraphs>
  <ScaleCrop>false</ScaleCrop>
  <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Liu( 刘建波 )</dc:creator>
  <cp:keywords/>
  <dc:description/>
  <cp:lastModifiedBy>Terry Liu( 刘建波 )</cp:lastModifiedBy>
  <cp:revision>3</cp:revision>
  <dcterms:created xsi:type="dcterms:W3CDTF">2025-01-26T14:44:00Z</dcterms:created>
  <dcterms:modified xsi:type="dcterms:W3CDTF">2025-01-26T14:45:00Z</dcterms:modified>
</cp:coreProperties>
</file>